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Cs/>
          <w:color w:val="000000"/>
          <w:sz w:val="36"/>
          <w:szCs w:val="36"/>
        </w:rPr>
      </w:pPr>
      <w:r>
        <w:rPr>
          <w:rFonts w:hint="eastAsia" w:ascii="黑体" w:hAnsi="黑体" w:eastAsia="黑体" w:cs="黑体"/>
          <w:bCs/>
          <w:color w:val="000000"/>
          <w:sz w:val="36"/>
          <w:szCs w:val="36"/>
        </w:rPr>
        <w:t>团体标准《富硒夏茶品质提升栽培技术规程》</w:t>
      </w:r>
    </w:p>
    <w:p>
      <w:pPr>
        <w:jc w:val="center"/>
        <w:rPr>
          <w:rFonts w:ascii="黑体" w:hAnsi="黑体" w:eastAsia="黑体" w:cs="黑体"/>
          <w:bCs/>
          <w:sz w:val="36"/>
          <w:szCs w:val="36"/>
        </w:rPr>
      </w:pPr>
      <w:r>
        <w:rPr>
          <w:rFonts w:hint="eastAsia" w:ascii="黑体" w:hAnsi="黑体" w:eastAsia="黑体" w:cs="黑体"/>
          <w:bCs/>
          <w:color w:val="000000"/>
          <w:sz w:val="36"/>
          <w:szCs w:val="36"/>
        </w:rPr>
        <w:t>（征求意见稿）编制说明</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一、项目来源</w:t>
      </w:r>
    </w:p>
    <w:p>
      <w:pPr>
        <w:spacing w:line="600" w:lineRule="exact"/>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根据《关于下达2021年第</w:t>
      </w:r>
      <w:r>
        <w:rPr>
          <w:rFonts w:hint="eastAsia" w:ascii="仿宋_GB2312" w:hAnsi="宋体" w:eastAsia="仿宋_GB2312"/>
          <w:sz w:val="28"/>
          <w:szCs w:val="28"/>
          <w:lang w:val="zh-CN" w:eastAsia="zh-CN"/>
        </w:rPr>
        <w:t>五</w:t>
      </w:r>
      <w:r>
        <w:rPr>
          <w:rFonts w:hint="eastAsia" w:ascii="仿宋_GB2312" w:hAnsi="宋体" w:eastAsia="仿宋_GB2312"/>
          <w:sz w:val="28"/>
          <w:szCs w:val="28"/>
          <w:lang w:val="zh-CN"/>
        </w:rPr>
        <w:t>批团体标准制修订项目计划的通知》（桂标协﹝2021﹞</w:t>
      </w:r>
      <w:r>
        <w:rPr>
          <w:rFonts w:hint="eastAsia" w:ascii="仿宋_GB2312" w:hAnsi="宋体" w:eastAsia="仿宋_GB2312"/>
          <w:sz w:val="28"/>
          <w:szCs w:val="28"/>
          <w:lang w:val="en-US" w:eastAsia="zh-CN"/>
        </w:rPr>
        <w:t>15</w:t>
      </w:r>
      <w:r>
        <w:rPr>
          <w:rFonts w:hint="eastAsia" w:ascii="仿宋_GB2312" w:hAnsi="宋体" w:eastAsia="仿宋_GB2312"/>
          <w:sz w:val="28"/>
          <w:szCs w:val="28"/>
          <w:lang w:val="zh-CN"/>
        </w:rPr>
        <w:t>号）文件精神，由</w:t>
      </w:r>
      <w:r>
        <w:rPr>
          <w:rFonts w:hint="eastAsia" w:ascii="仿宋_GB2312" w:hAnsi="宋体" w:eastAsia="仿宋_GB2312"/>
          <w:sz w:val="28"/>
          <w:szCs w:val="32"/>
          <w:lang w:val="zh-CN"/>
        </w:rPr>
        <w:t>广西壮族自治区农业科学院农业资源与环境研究所</w:t>
      </w:r>
      <w:r>
        <w:rPr>
          <w:rFonts w:hint="eastAsia" w:ascii="仿宋_GB2312" w:hAnsi="宋体" w:eastAsia="仿宋_GB2312"/>
          <w:sz w:val="28"/>
          <w:szCs w:val="28"/>
          <w:lang w:val="zh-CN"/>
        </w:rPr>
        <w:t>提出，</w:t>
      </w:r>
      <w:r>
        <w:rPr>
          <w:rFonts w:hint="eastAsia" w:ascii="仿宋_GB2312" w:hAnsi="宋体" w:eastAsia="仿宋_GB2312"/>
          <w:sz w:val="28"/>
          <w:szCs w:val="32"/>
          <w:lang w:val="zh-CN"/>
        </w:rPr>
        <w:t>广西壮族自治区农业科学院农业资源与环境研究所、广西桂平市西山碧水茶园有限责任公司共同</w:t>
      </w:r>
      <w:r>
        <w:rPr>
          <w:rFonts w:hint="eastAsia" w:ascii="仿宋_GB2312" w:hAnsi="宋体" w:eastAsia="仿宋_GB2312"/>
          <w:sz w:val="28"/>
          <w:szCs w:val="28"/>
          <w:lang w:val="zh-CN"/>
        </w:rPr>
        <w:t>起草的团体标准《</w:t>
      </w:r>
      <w:r>
        <w:rPr>
          <w:rFonts w:hint="eastAsia" w:ascii="仿宋_GB2312" w:hAnsi="宋体" w:eastAsia="仿宋_GB2312"/>
          <w:sz w:val="28"/>
          <w:szCs w:val="32"/>
          <w:lang w:val="zh-CN"/>
        </w:rPr>
        <w:t>富硒夏茶品质提升栽培技术规程</w:t>
      </w:r>
      <w:r>
        <w:rPr>
          <w:rFonts w:hint="eastAsia" w:ascii="仿宋_GB2312" w:hAnsi="宋体" w:eastAsia="仿宋_GB2312"/>
          <w:sz w:val="28"/>
          <w:szCs w:val="28"/>
          <w:lang w:val="zh-CN"/>
        </w:rPr>
        <w:t>》(项目编号：2021-0</w:t>
      </w:r>
      <w:r>
        <w:rPr>
          <w:rFonts w:hint="eastAsia" w:ascii="仿宋_GB2312" w:hAnsi="宋体" w:eastAsia="仿宋_GB2312"/>
          <w:sz w:val="28"/>
          <w:szCs w:val="28"/>
          <w:lang w:val="en-US" w:eastAsia="zh-CN"/>
        </w:rPr>
        <w:t>5</w:t>
      </w:r>
      <w:r>
        <w:rPr>
          <w:rFonts w:hint="eastAsia" w:ascii="仿宋_GB2312" w:hAnsi="宋体" w:eastAsia="仿宋_GB2312"/>
          <w:sz w:val="28"/>
          <w:szCs w:val="28"/>
          <w:lang w:val="zh-CN"/>
        </w:rPr>
        <w:t>03)。</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二、项目背景及目的意义</w:t>
      </w:r>
    </w:p>
    <w:p>
      <w:pPr>
        <w:pStyle w:val="25"/>
        <w:ind w:firstLine="560"/>
        <w:rPr>
          <w:rFonts w:ascii="仿宋_GB2312" w:hAnsi="宋体" w:eastAsia="仿宋_GB2312"/>
          <w:kern w:val="2"/>
          <w:sz w:val="28"/>
          <w:szCs w:val="28"/>
          <w:lang w:val="zh-CN"/>
        </w:rPr>
      </w:pPr>
      <w:r>
        <w:rPr>
          <w:rFonts w:hint="eastAsia" w:ascii="仿宋_GB2312" w:hAnsi="宋体" w:eastAsia="仿宋_GB2312"/>
          <w:sz w:val="28"/>
          <w:szCs w:val="28"/>
          <w:lang w:val="zh-CN"/>
        </w:rPr>
        <w:t>广西位于北纬20°54′－26°20′，东经104°29′－112°04′，地跨南亚热带和中亚热带，是祖国最南部茶区之一，有着优越的自然气候、环境条件与区位优势，山清水秀，生态良好，是绿茶、红茶、乌龙茶兼宜的生产区域。</w:t>
      </w:r>
      <w:r>
        <w:rPr>
          <w:rFonts w:ascii="仿宋_GB2312" w:hAnsi="宋体" w:eastAsia="仿宋_GB2312"/>
          <w:kern w:val="2"/>
          <w:sz w:val="28"/>
          <w:szCs w:val="28"/>
          <w:lang w:val="zh-CN"/>
        </w:rPr>
        <w:t>截至2017年，广西茶园面积达到7.53万hm</w:t>
      </w:r>
      <w:r>
        <w:rPr>
          <w:rFonts w:ascii="仿宋_GB2312" w:hAnsi="宋体" w:eastAsia="仿宋_GB2312"/>
          <w:kern w:val="2"/>
          <w:sz w:val="28"/>
          <w:szCs w:val="28"/>
          <w:vertAlign w:val="superscript"/>
          <w:lang w:val="zh-CN"/>
        </w:rPr>
        <w:t>2</w:t>
      </w:r>
      <w:r>
        <w:rPr>
          <w:rFonts w:ascii="仿宋_GB2312" w:hAnsi="宋体" w:eastAsia="仿宋_GB2312"/>
          <w:kern w:val="2"/>
          <w:sz w:val="28"/>
          <w:szCs w:val="28"/>
          <w:lang w:val="zh-CN"/>
        </w:rPr>
        <w:t>，茶叶总产量7.33万t，综合产值达54.93亿元，茶叶各类注册商标233个，区内多个茶叶产品获得地理标志产品保护、获评茶叶区域公用品牌。茶叶产业是广西特色农业产业，也</w:t>
      </w:r>
      <w:r>
        <w:rPr>
          <w:rFonts w:hint="eastAsia" w:ascii="仿宋_GB2312" w:hAnsi="宋体" w:eastAsia="仿宋_GB2312"/>
          <w:kern w:val="2"/>
          <w:sz w:val="28"/>
          <w:szCs w:val="28"/>
          <w:lang w:val="zh-CN"/>
        </w:rPr>
        <w:t>是</w:t>
      </w:r>
      <w:r>
        <w:rPr>
          <w:rFonts w:ascii="仿宋_GB2312" w:hAnsi="宋体" w:eastAsia="仿宋_GB2312"/>
          <w:kern w:val="2"/>
          <w:sz w:val="28"/>
          <w:szCs w:val="28"/>
          <w:lang w:val="zh-CN"/>
        </w:rPr>
        <w:t>广西千亿元茶叶产业的发展目标，到2020 年，全区干毛茶总产量达到 8.5万t，是广西的“十三五”规划“10+3”重点发展产业之一，自治区党委、政府明确打造茶叶产值60亿元。长期以来，广西利用气候的优势发展早春名优茶，形成了非常显著的生产带，广西名优早春茶产量占总产量的35%，产值占总产值的60%以上；然而夏茶虽然产量大，但受温度过高、光照太强、不施肥或少施肥的影响，茶叶品质稍逊，综合效益较低，制约了全年茶业产值的提高。因此，提升夏茶品质，增加夏茶附加值对于提高广西茶业总产值具有重要现实意义。</w:t>
      </w:r>
    </w:p>
    <w:p>
      <w:pPr>
        <w:autoSpaceDE w:val="0"/>
        <w:autoSpaceDN w:val="0"/>
        <w:adjustRightInd w:val="0"/>
        <w:ind w:firstLine="560" w:firstLineChars="200"/>
        <w:jc w:val="left"/>
        <w:rPr>
          <w:rFonts w:ascii="仿宋_GB2312" w:hAnsi="宋体" w:eastAsia="仿宋_GB2312"/>
          <w:sz w:val="28"/>
          <w:szCs w:val="28"/>
          <w:lang w:val="zh-CN"/>
        </w:rPr>
      </w:pPr>
      <w:r>
        <w:rPr>
          <w:rFonts w:hint="eastAsia" w:ascii="仿宋_GB2312" w:hAnsi="宋体" w:eastAsia="仿宋_GB2312"/>
          <w:sz w:val="28"/>
          <w:szCs w:val="28"/>
          <w:lang w:val="zh-CN"/>
        </w:rPr>
        <w:t>食物是人体硒元素的主要来源，通过植物生产将土壤硒转化为食物硒，提高食物链硒水平是预防硒缺乏和调控硒营养的有效途径。硒在自然界和生物体中有多种形态，自然界中的硒多以无机盐形式存在，据硒盐的毒理分析表明，无机硒均为剧毒，其中毒性较大的有硒酸盐 Se（VI）、亚硒酸盐Se（IV），不易被人体吸收；而有机硒具有较高的生物利用度和生物活性，与人体代谢密切相关的有硒代蛋氨酸（Se Met）、硒代胱氨酸（Se Cys2）、甲基硒代半胱氨酸（Me Se Cys）等。随着我国居民保健需求的增加，保健品市场不断扩大，开发利用硒资源,生产富硒食品、保健品，已逐渐成为我国食品行业的一个新热点。随着研究水平和人类身体健康要求的不断提高，人们认识到元素的生理效应、不光与元素的含量相关，只有当元素以特定形态存在，并处于一定浓度范围内时，才会对生物体和生命系统发挥作用。</w:t>
      </w:r>
      <w:r>
        <w:rPr>
          <w:rFonts w:ascii="仿宋_GB2312" w:hAnsi="宋体" w:eastAsia="仿宋_GB2312"/>
          <w:sz w:val="28"/>
          <w:szCs w:val="28"/>
          <w:lang w:val="zh-CN"/>
        </w:rPr>
        <w:t>人体自身不能合成硒，缺硒现象普遍存在，人体需要通过食物补充硒营养。富硒功能食品因其具有富硒、优质、保健、防病、安全等特点而获得人们的青睐，其消费需求量日益增长。广西是富硒大省，75%的茶园为富硒茶园，为夏茶品质提升提供了有利的土壤条件。富硒夏茶则以硒为贵，其产品附加值、产品产值随之提高。据悉，优质富硒夏茶均价可达300元/kg，生产成本约需130元/kg，而广西普通夏茶均价200元/kg，生产成本约为80元/kg，每kg富硒夏茶产值、利润分别比普通夏茶增加100元、50元，产值、利润明显增加。</w:t>
      </w:r>
    </w:p>
    <w:p>
      <w:pPr>
        <w:autoSpaceDE w:val="0"/>
        <w:autoSpaceDN w:val="0"/>
        <w:adjustRightInd w:val="0"/>
        <w:ind w:firstLine="560" w:firstLineChars="200"/>
        <w:jc w:val="left"/>
        <w:rPr>
          <w:rFonts w:ascii="仿宋_GB2312" w:hAnsi="宋体" w:eastAsia="仿宋_GB2312"/>
          <w:sz w:val="28"/>
          <w:szCs w:val="28"/>
          <w:lang w:val="zh-CN"/>
        </w:rPr>
      </w:pPr>
      <w:r>
        <w:rPr>
          <w:rFonts w:ascii="仿宋_GB2312" w:hAnsi="宋体" w:eastAsia="仿宋_GB2312"/>
          <w:sz w:val="28"/>
          <w:szCs w:val="28"/>
          <w:lang w:val="zh-CN"/>
        </w:rPr>
        <w:t>广西富硒区夏茶品质的保障，离不开栽培生产过程的技术支撑。为产出高品质的夏茶产品，需对富硒区茶园进行土壤硒素调查、气候环境调查、夏茶品质背景检测、夏茶栽培硒素调控、贮运处理技术等全面管控。因此，制定相关标准，统一规范广西富硒区夏茶栽培要求，对于提升夏茶品质意义重大。充分利用广西富硒土壤资源优势，同时适当调节夏茶栽培的气候环境，开展高品质富硒夏茶标准化生产技术研究，形成一套切实有效的能提升广西富硒区夏茶品质的标准化栽培技术规程，增加夏茶产品的附加值，打造“桂”字号优质富硒夏茶品牌，从而提高广西夏茶竞争力，推动优质富硒夏茶的规模化、品牌化、产业化发展，帮助企业增效、农民增收，助力乡村振兴，对推动广西农业产业结构战略调整，促进广西农业可持续快速发展有重要指导意义。</w:t>
      </w:r>
    </w:p>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三、标准编制过程</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w:t>
      </w:r>
      <w:r>
        <w:rPr>
          <w:rFonts w:hint="eastAsia" w:ascii="仿宋_GB2312" w:hAnsi="宋体" w:eastAsia="仿宋_GB2312"/>
          <w:sz w:val="28"/>
          <w:szCs w:val="32"/>
          <w:lang w:val="zh-CN"/>
        </w:rPr>
        <w:t>富硒夏茶品质提升栽培技术规程</w:t>
      </w:r>
      <w:r>
        <w:rPr>
          <w:rFonts w:hint="eastAsia" w:ascii="仿宋_GB2312" w:hAnsi="宋体" w:eastAsia="仿宋_GB2312"/>
          <w:sz w:val="28"/>
          <w:szCs w:val="28"/>
        </w:rPr>
        <w:t>》项目任务下达后，成立了标准编制工作组，制定了标准编写方案，明确任务职责，确定工作技术路线，开展标准研制工作，具体标准编制工作由</w:t>
      </w:r>
      <w:r>
        <w:rPr>
          <w:rFonts w:hint="eastAsia" w:ascii="仿宋_GB2312" w:hAnsi="宋体" w:eastAsia="仿宋_GB2312"/>
          <w:sz w:val="28"/>
          <w:szCs w:val="32"/>
          <w:lang w:val="zh-CN"/>
        </w:rPr>
        <w:t>广西壮族自治区农业科学院农业资源与环境研究所</w:t>
      </w:r>
      <w:r>
        <w:rPr>
          <w:rFonts w:hint="eastAsia" w:ascii="仿宋_GB2312" w:hAnsi="宋体" w:eastAsia="仿宋_GB2312"/>
          <w:sz w:val="28"/>
          <w:szCs w:val="28"/>
        </w:rPr>
        <w:t>相关人员配合。</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w:t>
      </w:r>
      <w:r>
        <w:rPr>
          <w:rFonts w:hint="eastAsia" w:ascii="仿宋_GB2312" w:hAnsi="宋体" w:eastAsia="仿宋_GB2312"/>
          <w:b/>
          <w:sz w:val="28"/>
          <w:szCs w:val="32"/>
        </w:rPr>
        <w:t>二</w:t>
      </w:r>
      <w:r>
        <w:rPr>
          <w:rFonts w:hint="eastAsia" w:ascii="仿宋_GB2312" w:hAnsi="宋体" w:eastAsia="仿宋_GB2312"/>
          <w:b/>
          <w:sz w:val="28"/>
          <w:szCs w:val="32"/>
          <w:lang w:val="zh-CN"/>
        </w:rPr>
        <w:t>）收集整理文献资料</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目前国内关于</w:t>
      </w:r>
      <w:r>
        <w:rPr>
          <w:rFonts w:hint="eastAsia" w:ascii="仿宋_GB2312" w:hAnsi="宋体" w:eastAsia="仿宋_GB2312"/>
          <w:sz w:val="28"/>
          <w:szCs w:val="32"/>
        </w:rPr>
        <w:t>富硒区夏茶品质提升栽培的</w:t>
      </w:r>
      <w:r>
        <w:rPr>
          <w:rFonts w:hint="eastAsia" w:ascii="仿宋_GB2312" w:hAnsi="宋体" w:eastAsia="仿宋_GB2312"/>
          <w:sz w:val="28"/>
          <w:szCs w:val="32"/>
          <w:lang w:val="zh-CN"/>
        </w:rPr>
        <w:t xml:space="preserve">标准还未见相关报道，通过查阅参考了其他茶叶种植标准，具体列出如下： </w:t>
      </w:r>
    </w:p>
    <w:p>
      <w:pPr>
        <w:ind w:firstLine="560" w:firstLineChars="200"/>
        <w:rPr>
          <w:rFonts w:ascii="仿宋_GB2312" w:hAnsi="宋体" w:eastAsia="仿宋_GB2312"/>
          <w:sz w:val="28"/>
          <w:szCs w:val="32"/>
        </w:rPr>
      </w:pPr>
      <w:r>
        <w:rPr>
          <w:rFonts w:hint="eastAsia" w:ascii="仿宋_GB2312" w:hAnsi="宋体" w:eastAsia="仿宋_GB2312"/>
          <w:sz w:val="28"/>
          <w:szCs w:val="32"/>
        </w:rPr>
        <w:t>GB/Z 26576  茶叶生产技术规范</w:t>
      </w:r>
    </w:p>
    <w:p>
      <w:pPr>
        <w:ind w:firstLine="560" w:firstLineChars="200"/>
        <w:rPr>
          <w:rFonts w:ascii="仿宋_GB2312" w:hAnsi="宋体" w:eastAsia="仿宋_GB2312"/>
          <w:sz w:val="28"/>
          <w:szCs w:val="32"/>
        </w:rPr>
      </w:pPr>
      <w:r>
        <w:rPr>
          <w:rFonts w:hint="eastAsia" w:ascii="仿宋_GB2312" w:hAnsi="宋体" w:eastAsia="仿宋_GB2312"/>
          <w:sz w:val="28"/>
          <w:szCs w:val="32"/>
        </w:rPr>
        <w:t>GH/T 1076  茶叶生产技术规程</w:t>
      </w:r>
    </w:p>
    <w:p>
      <w:pPr>
        <w:ind w:firstLine="560" w:firstLineChars="200"/>
        <w:rPr>
          <w:rFonts w:ascii="仿宋_GB2312" w:hAnsi="宋体" w:eastAsia="仿宋_GB2312"/>
          <w:sz w:val="28"/>
          <w:szCs w:val="32"/>
        </w:rPr>
      </w:pPr>
      <w:r>
        <w:rPr>
          <w:rFonts w:hint="eastAsia" w:ascii="仿宋_GB2312" w:hAnsi="宋体" w:eastAsia="仿宋_GB2312"/>
          <w:sz w:val="28"/>
          <w:szCs w:val="32"/>
        </w:rPr>
        <w:t>NY/T 5018  茶叶生产技术规程</w:t>
      </w:r>
    </w:p>
    <w:p>
      <w:pPr>
        <w:ind w:firstLine="560" w:firstLineChars="200"/>
        <w:rPr>
          <w:rFonts w:ascii="仿宋_GB2312" w:hAnsi="宋体" w:eastAsia="仿宋_GB2312"/>
          <w:sz w:val="28"/>
          <w:szCs w:val="32"/>
        </w:rPr>
      </w:pPr>
      <w:r>
        <w:rPr>
          <w:rFonts w:hint="eastAsia" w:ascii="仿宋_GB2312" w:hAnsi="宋体" w:eastAsia="仿宋_GB2312"/>
          <w:sz w:val="28"/>
          <w:szCs w:val="32"/>
        </w:rPr>
        <w:t>DB45/T 389  有机茶生产技术规程</w:t>
      </w:r>
    </w:p>
    <w:p>
      <w:pPr>
        <w:ind w:firstLine="560" w:firstLineChars="200"/>
        <w:rPr>
          <w:rFonts w:ascii="仿宋_GB2312" w:hAnsi="宋体" w:eastAsia="仿宋_GB2312"/>
          <w:sz w:val="28"/>
          <w:szCs w:val="32"/>
        </w:rPr>
      </w:pPr>
      <w:r>
        <w:rPr>
          <w:rFonts w:hint="eastAsia" w:ascii="仿宋_GB2312" w:hAnsi="宋体" w:eastAsia="仿宋_GB2312"/>
          <w:sz w:val="28"/>
          <w:szCs w:val="32"/>
        </w:rPr>
        <w:t>DB45/T 1167  桂绿1号茶树品种栽培技术规程</w:t>
      </w:r>
    </w:p>
    <w:p>
      <w:pPr>
        <w:ind w:firstLine="560" w:firstLineChars="200"/>
        <w:rPr>
          <w:rFonts w:ascii="仿宋_GB2312" w:hAnsi="宋体" w:eastAsia="仿宋_GB2312"/>
          <w:sz w:val="28"/>
          <w:szCs w:val="32"/>
        </w:rPr>
      </w:pPr>
      <w:r>
        <w:rPr>
          <w:rFonts w:hint="eastAsia" w:ascii="仿宋_GB2312" w:hAnsi="宋体" w:eastAsia="仿宋_GB2312"/>
          <w:sz w:val="28"/>
          <w:szCs w:val="32"/>
        </w:rPr>
        <w:t>D45/T  1243  茶树主要病虫害绿色防控技术规程</w:t>
      </w:r>
    </w:p>
    <w:p>
      <w:pPr>
        <w:ind w:firstLine="560" w:firstLineChars="200"/>
        <w:rPr>
          <w:rFonts w:ascii="仿宋_GB2312" w:hAnsi="宋体" w:eastAsia="仿宋_GB2312"/>
          <w:sz w:val="28"/>
          <w:szCs w:val="32"/>
        </w:rPr>
      </w:pPr>
      <w:r>
        <w:rPr>
          <w:rFonts w:hint="eastAsia" w:ascii="仿宋_GB2312" w:hAnsi="宋体" w:eastAsia="仿宋_GB2312"/>
          <w:sz w:val="28"/>
          <w:szCs w:val="32"/>
        </w:rPr>
        <w:t>DB45/T 1389  富硒茶栽培技术规程</w:t>
      </w:r>
    </w:p>
    <w:p>
      <w:pPr>
        <w:ind w:firstLine="560" w:firstLineChars="200"/>
        <w:rPr>
          <w:rFonts w:ascii="仿宋_GB2312" w:hAnsi="宋体" w:eastAsia="仿宋_GB2312"/>
          <w:sz w:val="28"/>
          <w:szCs w:val="32"/>
        </w:rPr>
      </w:pPr>
      <w:r>
        <w:rPr>
          <w:rFonts w:hint="eastAsia" w:ascii="仿宋_GB2312" w:hAnsi="宋体" w:eastAsia="仿宋_GB2312"/>
          <w:sz w:val="28"/>
          <w:szCs w:val="32"/>
        </w:rPr>
        <w:t>DB45/T 2247  有机茶园绿肥栽培技术规程</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（三）研讨确定标准主体内容</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标准编制工作组在对收集的资料进行整理研究后，标准编制工作组召开了标准编制会议，对标准的整体框架进行了研究，并对标准的关键性问题进行了初步探讨。经过研究，标准的主体内容包括术语和定义、产地环境、种植、土肥水管理、硒素调控、修剪、遮阴、病虫草害防治、采摘及储运</w:t>
      </w:r>
    </w:p>
    <w:p>
      <w:pPr>
        <w:numPr>
          <w:ilvl w:val="0"/>
          <w:numId w:val="2"/>
        </w:num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形成文本草案、征求意见稿</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2021年3月，标准起草工作小组进行了广泛实地调研工作，查阅了大量的国内外文献资料，对夏茶品质提升的种植模式进行系统总结，并于</w:t>
      </w:r>
      <w:r>
        <w:rPr>
          <w:rFonts w:hint="eastAsia" w:ascii="仿宋_GB2312" w:hAnsi="宋体" w:eastAsia="仿宋_GB2312"/>
          <w:sz w:val="28"/>
          <w:szCs w:val="28"/>
          <w:lang w:val="zh-CN"/>
        </w:rPr>
        <w:t>横县、凌云、桂平等地建立茶叶生产的种植示范园</w:t>
      </w:r>
      <w:r>
        <w:rPr>
          <w:rFonts w:hint="eastAsia" w:ascii="仿宋_GB2312" w:hAnsi="宋体" w:eastAsia="仿宋_GB2312"/>
          <w:sz w:val="28"/>
          <w:szCs w:val="28"/>
        </w:rPr>
        <w:t>。经编制组反复讨论，形成了标准的基本构架，对主要内容进行了讨论并对项目的工作进行了部署和安排。在前期工作的基础之上，通过理清逻辑脉络，整合已有的参考资料中有关茶叶品质提升的栽培技术，并结合区内夏茶栽培实际要求的基础上，按照简化、统一等原则编制完成团体标准《</w:t>
      </w:r>
      <w:r>
        <w:rPr>
          <w:rFonts w:hint="eastAsia" w:ascii="仿宋_GB2312" w:hAnsi="宋体" w:eastAsia="仿宋_GB2312"/>
          <w:sz w:val="28"/>
          <w:szCs w:val="32"/>
          <w:lang w:eastAsia="zh-CN"/>
        </w:rPr>
        <w:t>富硒夏茶品质提升栽培技术规程</w:t>
      </w:r>
      <w:r>
        <w:rPr>
          <w:rFonts w:hint="eastAsia" w:ascii="仿宋_GB2312" w:hAnsi="宋体" w:eastAsia="仿宋_GB2312"/>
          <w:sz w:val="28"/>
          <w:szCs w:val="28"/>
        </w:rPr>
        <w:t>》（草案）。</w:t>
      </w:r>
    </w:p>
    <w:p>
      <w:pPr>
        <w:ind w:firstLine="560" w:firstLineChars="200"/>
        <w:rPr>
          <w:rFonts w:ascii="仿宋_GB2312" w:hAnsi="宋体" w:eastAsia="仿宋_GB2312"/>
          <w:sz w:val="28"/>
          <w:szCs w:val="28"/>
        </w:rPr>
      </w:pPr>
      <w:r>
        <w:rPr>
          <w:rFonts w:hint="eastAsia" w:ascii="仿宋_GB2312" w:hAnsi="宋体" w:eastAsia="仿宋_GB2312"/>
          <w:sz w:val="28"/>
          <w:szCs w:val="32"/>
        </w:rPr>
        <w:t>2021年4月</w:t>
      </w:r>
      <w:r>
        <w:rPr>
          <w:rFonts w:hint="eastAsia" w:ascii="宋体" w:hAnsi="宋体"/>
          <w:sz w:val="28"/>
          <w:szCs w:val="32"/>
        </w:rPr>
        <w:t>～</w:t>
      </w:r>
      <w:r>
        <w:rPr>
          <w:rFonts w:hint="eastAsia" w:ascii="仿宋_GB2312" w:hAnsi="宋体" w:eastAsia="仿宋_GB2312"/>
          <w:sz w:val="28"/>
          <w:szCs w:val="32"/>
        </w:rPr>
        <w:t>2021年8月，</w:t>
      </w:r>
      <w:r>
        <w:rPr>
          <w:rFonts w:hint="eastAsia" w:ascii="仿宋_GB2312" w:hAnsi="宋体" w:eastAsia="仿宋_GB2312"/>
          <w:sz w:val="28"/>
          <w:szCs w:val="28"/>
        </w:rPr>
        <w:t>编制组深入</w:t>
      </w:r>
      <w:r>
        <w:rPr>
          <w:rFonts w:hint="eastAsia" w:ascii="仿宋_GB2312" w:hAnsi="宋体" w:eastAsia="仿宋_GB2312"/>
          <w:sz w:val="28"/>
          <w:szCs w:val="28"/>
          <w:lang w:val="zh-CN"/>
        </w:rPr>
        <w:t>横县、凌云、桂平等茶叶产区进行分组调研，</w:t>
      </w:r>
      <w:r>
        <w:rPr>
          <w:rFonts w:hint="eastAsia" w:ascii="仿宋_GB2312" w:hAnsi="宋体" w:eastAsia="仿宋_GB2312"/>
          <w:sz w:val="28"/>
          <w:szCs w:val="28"/>
        </w:rPr>
        <w:t>向茶叶生产企业、合作社以及农户征求栽培生产技术意见，并针对</w:t>
      </w:r>
      <w:r>
        <w:rPr>
          <w:rFonts w:hint="eastAsia" w:ascii="仿宋_GB2312" w:hAnsi="宋体" w:eastAsia="仿宋_GB2312"/>
          <w:sz w:val="28"/>
          <w:szCs w:val="32"/>
        </w:rPr>
        <w:t>夏茶品质提升栽培</w:t>
      </w:r>
      <w:r>
        <w:rPr>
          <w:rFonts w:hint="eastAsia" w:ascii="仿宋_GB2312" w:hAnsi="宋体" w:eastAsia="仿宋_GB2312"/>
          <w:sz w:val="28"/>
          <w:szCs w:val="28"/>
        </w:rPr>
        <w:t>实际情况，分别在农户和我所茶叶试验示范基地进行试验，从产地环境、土肥水管理、硒素调控、修剪、遮阴、采收等方面进行实验研究，通过比较夏茶品质及产量确定</w:t>
      </w:r>
      <w:r>
        <w:rPr>
          <w:rFonts w:hint="eastAsia" w:ascii="仿宋_GB2312" w:hAnsi="宋体" w:eastAsia="仿宋_GB2312"/>
          <w:sz w:val="28"/>
          <w:szCs w:val="32"/>
        </w:rPr>
        <w:t>栽培</w:t>
      </w:r>
      <w:r>
        <w:rPr>
          <w:rFonts w:hint="eastAsia" w:ascii="仿宋_GB2312" w:hAnsi="宋体" w:eastAsia="仿宋_GB2312"/>
          <w:sz w:val="28"/>
          <w:szCs w:val="28"/>
        </w:rPr>
        <w:t>技术，取得阶段性进展，建立了</w:t>
      </w:r>
      <w:r>
        <w:rPr>
          <w:rFonts w:hint="eastAsia" w:ascii="仿宋_GB2312" w:hAnsi="宋体" w:eastAsia="仿宋_GB2312"/>
          <w:sz w:val="28"/>
          <w:szCs w:val="32"/>
        </w:rPr>
        <w:t>夏茶品质提升</w:t>
      </w:r>
      <w:r>
        <w:rPr>
          <w:rFonts w:hint="eastAsia" w:ascii="仿宋_GB2312" w:hAnsi="宋体" w:eastAsia="仿宋_GB2312"/>
          <w:sz w:val="28"/>
          <w:szCs w:val="28"/>
        </w:rPr>
        <w:t>栽培示范基地。根据反馈意见及试验成果，标准编制工作组多次召开会议，对标准草案进行反复修改和研究讨论，形成团体标准《</w:t>
      </w:r>
      <w:r>
        <w:rPr>
          <w:rFonts w:hint="eastAsia" w:ascii="仿宋_GB2312" w:hAnsi="宋体" w:eastAsia="仿宋_GB2312"/>
          <w:sz w:val="28"/>
          <w:szCs w:val="32"/>
          <w:lang w:eastAsia="zh-CN"/>
        </w:rPr>
        <w:t>富硒夏茶品质提升栽培技术规程</w:t>
      </w:r>
      <w:r>
        <w:rPr>
          <w:rFonts w:hint="eastAsia" w:ascii="仿宋_GB2312" w:hAnsi="宋体" w:eastAsia="仿宋_GB2312"/>
          <w:sz w:val="28"/>
          <w:szCs w:val="28"/>
        </w:rPr>
        <w:t>》（征求意见稿）和（征求意见稿）编制说明。</w:t>
      </w:r>
    </w:p>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四、标准制定原则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1、实用性原则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本文件是在充分收集相关资料和文献，分析广西茶叶的种植特点及生长发育特性，在现有国家、行业标准相关茶叶栽培技术要求的基础上，结合多年实践而总结起草的。符合当前广西行政区域内</w:t>
      </w:r>
      <w:r>
        <w:rPr>
          <w:rFonts w:hint="eastAsia" w:ascii="仿宋_GB2312" w:hAnsi="宋体" w:eastAsia="仿宋_GB2312"/>
          <w:sz w:val="28"/>
          <w:szCs w:val="32"/>
        </w:rPr>
        <w:t>富硒区夏茶品质提升栽培</w:t>
      </w:r>
      <w:r>
        <w:rPr>
          <w:rFonts w:hint="eastAsia" w:ascii="仿宋_GB2312" w:hAnsi="宋体" w:eastAsia="仿宋_GB2312"/>
          <w:sz w:val="28"/>
          <w:szCs w:val="28"/>
        </w:rPr>
        <w:t>的要求，有利于行业的长远发展，具有较强的实用性和可操作性。</w:t>
      </w:r>
    </w:p>
    <w:p>
      <w:pPr>
        <w:ind w:firstLine="560" w:firstLineChars="200"/>
        <w:rPr>
          <w:rFonts w:ascii="仿宋_GB2312" w:hAnsi="宋体" w:eastAsia="仿宋_GB2312"/>
          <w:sz w:val="28"/>
          <w:szCs w:val="28"/>
        </w:rPr>
      </w:pPr>
      <w:r>
        <w:rPr>
          <w:rFonts w:hint="eastAsia" w:ascii="仿宋_GB2312" w:hAnsi="宋体" w:eastAsia="仿宋_GB2312"/>
          <w:sz w:val="28"/>
          <w:szCs w:val="28"/>
        </w:rPr>
        <w:t>2、协调性原则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本文件编写过程中注意了与</w:t>
      </w:r>
      <w:r>
        <w:rPr>
          <w:rFonts w:hint="eastAsia" w:ascii="仿宋_GB2312" w:hAnsi="宋体" w:eastAsia="仿宋_GB2312"/>
          <w:sz w:val="28"/>
          <w:szCs w:val="32"/>
          <w:lang w:eastAsia="zh-CN"/>
        </w:rPr>
        <w:t>富硒夏茶品质提升栽培技术规程</w:t>
      </w:r>
      <w:r>
        <w:rPr>
          <w:rFonts w:hint="eastAsia" w:ascii="仿宋_GB2312" w:hAnsi="宋体" w:eastAsia="仿宋_GB2312"/>
          <w:sz w:val="28"/>
          <w:szCs w:val="28"/>
        </w:rPr>
        <w:t>相关法律法规的协调问题，在内容上与现行法律法规、标准协调一致。</w:t>
      </w:r>
    </w:p>
    <w:p>
      <w:pPr>
        <w:ind w:firstLine="560" w:firstLineChars="200"/>
        <w:rPr>
          <w:rFonts w:ascii="仿宋_GB2312" w:hAnsi="宋体" w:eastAsia="仿宋_GB2312"/>
          <w:sz w:val="28"/>
          <w:szCs w:val="28"/>
        </w:rPr>
      </w:pPr>
      <w:r>
        <w:rPr>
          <w:rFonts w:hint="eastAsia" w:ascii="仿宋_GB2312" w:hAnsi="宋体" w:eastAsia="仿宋_GB2312"/>
          <w:sz w:val="28"/>
          <w:szCs w:val="28"/>
        </w:rPr>
        <w:t>3、规范性原则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本文件严格按照GB/T 1.1—2020《标准化工作导则 第1部分：标准的结构和编写》的要求和规定编写本标准的内容，保证标准的编写质量。</w:t>
      </w:r>
    </w:p>
    <w:p>
      <w:pPr>
        <w:ind w:firstLine="560" w:firstLineChars="200"/>
        <w:rPr>
          <w:rFonts w:ascii="仿宋_GB2312" w:hAnsi="宋体" w:eastAsia="仿宋_GB2312"/>
          <w:sz w:val="28"/>
          <w:szCs w:val="28"/>
        </w:rPr>
      </w:pPr>
      <w:r>
        <w:rPr>
          <w:rFonts w:hint="eastAsia" w:ascii="仿宋_GB2312" w:hAnsi="宋体" w:eastAsia="仿宋_GB2312"/>
          <w:sz w:val="28"/>
          <w:szCs w:val="28"/>
        </w:rPr>
        <w:t>4、前瞻性原则</w:t>
      </w:r>
    </w:p>
    <w:p>
      <w:pPr>
        <w:ind w:firstLine="560" w:firstLineChars="200"/>
        <w:rPr>
          <w:rFonts w:ascii="仿宋_GB2312" w:hAnsi="宋体" w:eastAsia="仿宋_GB2312"/>
          <w:sz w:val="28"/>
          <w:szCs w:val="32"/>
        </w:rPr>
      </w:pPr>
      <w:r>
        <w:rPr>
          <w:rFonts w:hint="eastAsia" w:ascii="仿宋_GB2312" w:hAnsi="宋体" w:eastAsia="仿宋_GB2312"/>
          <w:sz w:val="28"/>
          <w:szCs w:val="32"/>
        </w:rPr>
        <w:t>本文件根据当前广西区内各茶叶产区，通过</w:t>
      </w:r>
      <w:r>
        <w:rPr>
          <w:rFonts w:ascii="仿宋_GB2312" w:hAnsi="宋体" w:eastAsia="仿宋_GB2312"/>
          <w:sz w:val="28"/>
          <w:szCs w:val="32"/>
        </w:rPr>
        <w:t>遮阴栽培</w:t>
      </w:r>
      <w:r>
        <w:rPr>
          <w:rFonts w:hint="eastAsia" w:ascii="仿宋_GB2312" w:hAnsi="宋体" w:eastAsia="仿宋_GB2312"/>
          <w:sz w:val="28"/>
          <w:szCs w:val="32"/>
        </w:rPr>
        <w:t>、</w:t>
      </w:r>
      <w:r>
        <w:rPr>
          <w:rFonts w:ascii="仿宋_GB2312" w:hAnsi="宋体" w:eastAsia="仿宋_GB2312"/>
          <w:sz w:val="28"/>
          <w:szCs w:val="32"/>
        </w:rPr>
        <w:t>硒素</w:t>
      </w:r>
      <w:r>
        <w:rPr>
          <w:rFonts w:hint="eastAsia" w:ascii="仿宋_GB2312" w:hAnsi="宋体" w:eastAsia="仿宋_GB2312"/>
          <w:sz w:val="28"/>
          <w:szCs w:val="32"/>
        </w:rPr>
        <w:t>调节等措施改善夏茶品质差、效益低、不能满足市场需求的现状，同时考虑富硒区夏茶品质提升栽培技术的需求，在标准中体现了个别特色性、前瞻性和先进性条款，作为对富硒区夏茶品质提升栽培管理的指导。</w:t>
      </w:r>
    </w:p>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五、标准主要章节内容及确定依据</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团体标准《富硒夏茶品质提升栽培技术规程》主要内容包括术语和定义、产地环境、种植、土肥水管理、硒素调控、修剪、遮阴、病虫草害防治、采摘及储运。</w:t>
      </w:r>
    </w:p>
    <w:p>
      <w:pPr>
        <w:ind w:firstLine="560" w:firstLineChars="200"/>
        <w:rPr>
          <w:rFonts w:ascii="仿宋_GB2312" w:hAnsi="宋体" w:eastAsia="仿宋_GB2312"/>
          <w:sz w:val="28"/>
          <w:szCs w:val="32"/>
          <w:lang w:val="zh-CN"/>
        </w:rPr>
      </w:pPr>
      <w:r>
        <w:rPr>
          <w:rFonts w:ascii="仿宋_GB2312" w:hAnsi="宋体" w:eastAsia="仿宋_GB2312"/>
          <w:sz w:val="28"/>
          <w:szCs w:val="32"/>
          <w:lang w:val="zh-CN"/>
        </w:rPr>
        <w:t>广西农业科学院农业资源与环境研究所、广西桂平市西山碧水茶园有限责任公司</w:t>
      </w:r>
      <w:r>
        <w:rPr>
          <w:rFonts w:hint="eastAsia" w:ascii="仿宋_GB2312" w:hAnsi="宋体" w:eastAsia="仿宋_GB2312"/>
          <w:sz w:val="28"/>
          <w:szCs w:val="32"/>
          <w:lang w:val="zh-CN"/>
        </w:rPr>
        <w:t>共同</w:t>
      </w:r>
      <w:r>
        <w:rPr>
          <w:rFonts w:ascii="仿宋_GB2312" w:hAnsi="宋体" w:eastAsia="仿宋_GB2312"/>
          <w:sz w:val="28"/>
          <w:szCs w:val="32"/>
          <w:lang w:val="zh-CN"/>
        </w:rPr>
        <w:t>承担了广西创新驱动发展科技重大专项《广西特色富硒茶标准化生产关键技术研究与应用》、广西科技计划项目《广西特色作物高效富硒关键技术研究与示范 》、《广西富硒功能农产品研发关键技术引进与创新》、广西重点研发计划项目《广西富硒区夏茶品质提升栽培技术研究与示范》等项目，在多个富硒茶园开展了大量土壤硒活化试验、茶叶硒定量强化试验、生物循环生产富硒茶试验以及夏茶遮阴试验，在夏茶品质提升栽培技术上有了较大的突破，相关研究能为茶农生产优质富硒夏茶提供技术指导。</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1.术语和定义</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术语和定义根据生产实际确定。夏茶品质提升：</w:t>
      </w:r>
      <w:bookmarkStart w:id="0" w:name="_Toc66150629"/>
      <w:bookmarkEnd w:id="0"/>
      <w:r>
        <w:rPr>
          <w:rFonts w:hint="eastAsia" w:ascii="仿宋_GB2312" w:hAnsi="宋体" w:eastAsia="仿宋_GB2312"/>
          <w:sz w:val="28"/>
          <w:szCs w:val="32"/>
          <w:lang w:val="zh-CN"/>
        </w:rPr>
        <w:t>夏茶生产过程中，通过适度遮阴、硒素调控等措施，提高茶树新梢的芽、叶、嫩茎中叶绿素、氨基酸、水浸出物含量且硒元素（Se）含量符合GH/T 1090要求的技术。</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2.土壤硒素活化剂的研制</w:t>
      </w:r>
    </w:p>
    <w:p>
      <w:pPr>
        <w:ind w:firstLine="560" w:firstLineChars="200"/>
        <w:rPr>
          <w:rFonts w:ascii="仿宋_GB2312" w:hAnsi="宋体" w:eastAsia="仿宋_GB2312"/>
          <w:sz w:val="28"/>
          <w:szCs w:val="32"/>
          <w:lang w:val="zh-CN"/>
        </w:rPr>
      </w:pPr>
      <w:r>
        <w:rPr>
          <w:rFonts w:ascii="仿宋_GB2312" w:hAnsi="宋体" w:eastAsia="仿宋_GB2312"/>
          <w:sz w:val="28"/>
          <w:szCs w:val="32"/>
          <w:lang w:val="zh-CN"/>
        </w:rPr>
        <w:t>据前期调查，我区75%的茶园为富硒茶园，但富硒茶园所生产的茶叶富硒率不足25%。针对我区茶园土壤高硒低效现状，开展了茶园土壤硒素的活化研究。前期土壤培养试验发现</w:t>
      </w:r>
      <w:r>
        <w:rPr>
          <w:rFonts w:hint="eastAsia" w:ascii="仿宋_GB2312" w:hAnsi="宋体" w:eastAsia="仿宋_GB2312"/>
          <w:sz w:val="28"/>
          <w:szCs w:val="32"/>
          <w:lang w:val="zh-CN"/>
        </w:rPr>
        <w:t>，磷、氨基酸等物质</w:t>
      </w:r>
      <w:r>
        <w:rPr>
          <w:rFonts w:ascii="仿宋_GB2312" w:hAnsi="宋体" w:eastAsia="仿宋_GB2312"/>
          <w:sz w:val="28"/>
          <w:szCs w:val="32"/>
          <w:lang w:val="zh-CN"/>
        </w:rPr>
        <w:t>及一些耐硒菌有利于促进土壤硒向有效态转</w:t>
      </w:r>
      <w:r>
        <w:rPr>
          <w:rFonts w:hint="eastAsia" w:ascii="仿宋_GB2312" w:hAnsi="宋体" w:eastAsia="仿宋_GB2312"/>
          <w:sz w:val="28"/>
          <w:szCs w:val="32"/>
          <w:lang w:val="zh-CN"/>
        </w:rPr>
        <w:t>化，因此，课题组利用粉碎农作物秸秆、豆腐渣、耐硒菌复合菌种等物质研制出一种富硒茶专用菌肥。经夏季茶园田间应用菌肥150kg/亩，对照夏茶硒含量为0.14 mg/kg，施用菌肥的夏茶硒含量为0.29 mg/kg，施用菌肥的茶叶硒含量是对照处理的2.07倍。研究表明，土壤施用菌肥有利于土壤硒的活化，促进了茶树对土壤硒的吸收，菌肥处理的茶叶硒含量符合广西富硒农产品标准DB45/T1061-2014中茶叶硒含量标准。</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3.土壤硒素活化剂施用试验</w:t>
      </w:r>
    </w:p>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1）</w:t>
      </w:r>
      <w:r>
        <w:rPr>
          <w:rFonts w:hint="eastAsia" w:ascii="仿宋_GB2312" w:hAnsi="宋体" w:eastAsia="仿宋_GB2312"/>
          <w:sz w:val="28"/>
          <w:szCs w:val="28"/>
        </w:rPr>
        <w:t>茶园试验地硒含量检测</w:t>
      </w:r>
    </w:p>
    <w:p>
      <w:pPr>
        <w:spacing w:line="360" w:lineRule="auto"/>
        <w:jc w:val="center"/>
        <w:rPr>
          <w:rFonts w:ascii="仿宋_GB2312" w:hAnsi="宋体" w:eastAsia="仿宋_GB2312"/>
          <w:sz w:val="28"/>
          <w:szCs w:val="28"/>
        </w:rPr>
      </w:pPr>
      <w:r>
        <w:rPr>
          <w:rFonts w:hint="eastAsia" w:ascii="仿宋_GB2312" w:hAnsi="宋体" w:eastAsia="仿宋_GB2312"/>
          <w:sz w:val="28"/>
          <w:szCs w:val="28"/>
        </w:rPr>
        <w:t>表1  茶园试验地硒含量</w:t>
      </w:r>
    </w:p>
    <w:tbl>
      <w:tblPr>
        <w:tblStyle w:val="6"/>
        <w:tblW w:w="44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6"/>
        <w:gridCol w:w="3092"/>
        <w:gridCol w:w="2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378" w:type="pct"/>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基地名称</w:t>
            </w:r>
          </w:p>
        </w:tc>
        <w:tc>
          <w:tcPr>
            <w:tcW w:w="1856" w:type="pct"/>
            <w:vAlign w:val="center"/>
          </w:tcPr>
          <w:p>
            <w:pPr>
              <w:jc w:val="center"/>
              <w:rPr>
                <w:rFonts w:ascii="仿宋_GB2312" w:eastAsia="仿宋_GB2312" w:hAnsiTheme="minorEastAsia"/>
                <w:szCs w:val="21"/>
              </w:rPr>
            </w:pPr>
            <w:r>
              <w:rPr>
                <w:rFonts w:hint="eastAsia" w:ascii="仿宋_GB2312" w:eastAsia="仿宋_GB2312" w:hAnsiTheme="minorEastAsia"/>
                <w:szCs w:val="21"/>
              </w:rPr>
              <w:t>硒含量</w:t>
            </w:r>
          </w:p>
          <w:p>
            <w:pPr>
              <w:jc w:val="center"/>
              <w:rPr>
                <w:rFonts w:ascii="仿宋_GB2312" w:eastAsia="仿宋_GB2312" w:hAnsiTheme="minorEastAsia"/>
                <w:szCs w:val="21"/>
              </w:rPr>
            </w:pPr>
            <w:r>
              <w:rPr>
                <w:rFonts w:hint="eastAsia" w:ascii="仿宋_GB2312" w:eastAsia="仿宋_GB2312" w:hAnsiTheme="minorEastAsia"/>
                <w:szCs w:val="21"/>
              </w:rPr>
              <w:t>（mg/kg）</w:t>
            </w:r>
          </w:p>
        </w:tc>
        <w:tc>
          <w:tcPr>
            <w:tcW w:w="1766" w:type="pct"/>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78" w:type="pct"/>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蒙圩茶园</w:t>
            </w:r>
          </w:p>
        </w:tc>
        <w:tc>
          <w:tcPr>
            <w:tcW w:w="1856" w:type="pct"/>
            <w:vAlign w:val="center"/>
          </w:tcPr>
          <w:p>
            <w:pPr>
              <w:jc w:val="center"/>
              <w:rPr>
                <w:rFonts w:ascii="仿宋_GB2312" w:eastAsia="仿宋_GB2312"/>
                <w:szCs w:val="21"/>
              </w:rPr>
            </w:pPr>
            <w:r>
              <w:rPr>
                <w:rFonts w:hint="eastAsia" w:ascii="仿宋_GB2312" w:eastAsia="仿宋_GB2312"/>
                <w:szCs w:val="21"/>
              </w:rPr>
              <w:t>0.95</w:t>
            </w:r>
          </w:p>
        </w:tc>
        <w:tc>
          <w:tcPr>
            <w:tcW w:w="1766" w:type="pct"/>
            <w:shd w:val="clear" w:color="auto" w:fill="auto"/>
            <w:vAlign w:val="center"/>
          </w:tcPr>
          <w:p>
            <w:pPr>
              <w:jc w:val="center"/>
              <w:rPr>
                <w:rFonts w:ascii="仿宋_GB2312" w:eastAsia="仿宋_GB2312"/>
                <w:szCs w:val="21"/>
              </w:rPr>
            </w:pPr>
            <w:r>
              <w:rPr>
                <w:rFonts w:hint="eastAsia" w:ascii="仿宋_GB2312" w:eastAsia="仿宋_GB2312"/>
                <w:szCs w:val="21"/>
              </w:rPr>
              <w:t>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78" w:type="pct"/>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前进村茶园</w:t>
            </w:r>
          </w:p>
        </w:tc>
        <w:tc>
          <w:tcPr>
            <w:tcW w:w="1856" w:type="pct"/>
            <w:vAlign w:val="center"/>
          </w:tcPr>
          <w:p>
            <w:pPr>
              <w:jc w:val="center"/>
              <w:rPr>
                <w:rFonts w:ascii="仿宋_GB2312" w:eastAsia="仿宋_GB2312"/>
                <w:szCs w:val="21"/>
              </w:rPr>
            </w:pPr>
            <w:r>
              <w:rPr>
                <w:rFonts w:hint="eastAsia" w:ascii="仿宋_GB2312" w:eastAsia="仿宋_GB2312"/>
                <w:szCs w:val="21"/>
              </w:rPr>
              <w:t>1.36</w:t>
            </w:r>
          </w:p>
        </w:tc>
        <w:tc>
          <w:tcPr>
            <w:tcW w:w="1766" w:type="pct"/>
            <w:shd w:val="clear" w:color="auto" w:fill="auto"/>
            <w:vAlign w:val="center"/>
          </w:tcPr>
          <w:p>
            <w:pPr>
              <w:jc w:val="center"/>
              <w:rPr>
                <w:rFonts w:ascii="仿宋_GB2312" w:eastAsia="仿宋_GB2312"/>
                <w:szCs w:val="21"/>
              </w:rPr>
            </w:pPr>
            <w:r>
              <w:rPr>
                <w:rFonts w:hint="eastAsia" w:ascii="仿宋_GB2312" w:eastAsia="仿宋_GB2312"/>
                <w:szCs w:val="21"/>
              </w:rPr>
              <w:t>5.88</w:t>
            </w:r>
          </w:p>
        </w:tc>
      </w:tr>
    </w:tbl>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2）试验</w:t>
      </w:r>
      <w:r>
        <w:rPr>
          <w:rFonts w:ascii="仿宋_GB2312" w:hAnsi="宋体" w:eastAsia="仿宋_GB2312"/>
          <w:b/>
          <w:sz w:val="28"/>
          <w:szCs w:val="32"/>
          <w:lang w:val="zh-CN"/>
        </w:rPr>
        <w:t>梯度试验设计：</w:t>
      </w:r>
    </w:p>
    <w:p>
      <w:pPr>
        <w:ind w:firstLine="560" w:firstLineChars="200"/>
        <w:rPr>
          <w:rFonts w:ascii="仿宋_GB2312" w:hAnsi="宋体" w:eastAsia="仿宋_GB2312"/>
          <w:sz w:val="28"/>
          <w:szCs w:val="32"/>
          <w:lang w:val="zh-CN"/>
        </w:rPr>
      </w:pPr>
      <w:r>
        <w:rPr>
          <w:rFonts w:ascii="仿宋_GB2312" w:hAnsi="宋体" w:eastAsia="仿宋_GB2312"/>
          <w:sz w:val="28"/>
          <w:szCs w:val="32"/>
          <w:lang w:val="zh-CN"/>
        </w:rPr>
        <w:t>CK</w:t>
      </w:r>
      <w:r>
        <w:rPr>
          <w:rFonts w:hint="eastAsia" w:ascii="仿宋_GB2312" w:hAnsi="宋体" w:eastAsia="仿宋_GB2312"/>
          <w:sz w:val="28"/>
          <w:szCs w:val="32"/>
          <w:lang w:val="zh-CN"/>
        </w:rPr>
        <w:t xml:space="preserve"> ：不施硒素活化剂；J50：施用硒素活化剂5</w:t>
      </w:r>
      <w:r>
        <w:rPr>
          <w:rFonts w:ascii="仿宋_GB2312" w:hAnsi="宋体" w:eastAsia="仿宋_GB2312"/>
          <w:sz w:val="28"/>
          <w:szCs w:val="32"/>
          <w:lang w:val="zh-CN"/>
        </w:rPr>
        <w:t>0 kg/亩</w:t>
      </w:r>
      <w:r>
        <w:rPr>
          <w:rFonts w:hint="eastAsia" w:ascii="仿宋_GB2312" w:hAnsi="宋体" w:eastAsia="仿宋_GB2312"/>
          <w:sz w:val="28"/>
          <w:szCs w:val="32"/>
          <w:lang w:val="zh-CN"/>
        </w:rPr>
        <w:t>；J100：施用硒素活化剂</w:t>
      </w:r>
      <w:r>
        <w:rPr>
          <w:rFonts w:ascii="仿宋_GB2312" w:hAnsi="宋体" w:eastAsia="仿宋_GB2312"/>
          <w:sz w:val="28"/>
          <w:szCs w:val="32"/>
          <w:lang w:val="zh-CN"/>
        </w:rPr>
        <w:t>1</w:t>
      </w:r>
      <w:r>
        <w:rPr>
          <w:rFonts w:hint="eastAsia" w:ascii="仿宋_GB2312" w:hAnsi="宋体" w:eastAsia="仿宋_GB2312"/>
          <w:sz w:val="28"/>
          <w:szCs w:val="32"/>
          <w:lang w:val="zh-CN"/>
        </w:rPr>
        <w:t>00</w:t>
      </w:r>
      <w:r>
        <w:rPr>
          <w:rFonts w:ascii="仿宋_GB2312" w:hAnsi="宋体" w:eastAsia="仿宋_GB2312"/>
          <w:sz w:val="28"/>
          <w:szCs w:val="32"/>
          <w:lang w:val="zh-CN"/>
        </w:rPr>
        <w:t xml:space="preserve"> kg/亩</w:t>
      </w:r>
      <w:r>
        <w:rPr>
          <w:rFonts w:hint="eastAsia" w:ascii="仿宋_GB2312" w:hAnsi="宋体" w:eastAsia="仿宋_GB2312"/>
          <w:sz w:val="28"/>
          <w:szCs w:val="32"/>
          <w:lang w:val="zh-CN"/>
        </w:rPr>
        <w:t>；J150：施用硒素活化剂150</w:t>
      </w:r>
      <w:r>
        <w:rPr>
          <w:rFonts w:ascii="仿宋_GB2312" w:hAnsi="宋体" w:eastAsia="仿宋_GB2312"/>
          <w:sz w:val="28"/>
          <w:szCs w:val="32"/>
          <w:lang w:val="zh-CN"/>
        </w:rPr>
        <w:t>kg/亩</w:t>
      </w:r>
      <w:r>
        <w:rPr>
          <w:rFonts w:hint="eastAsia" w:ascii="仿宋_GB2312" w:hAnsi="宋体" w:eastAsia="仿宋_GB2312"/>
          <w:sz w:val="28"/>
          <w:szCs w:val="32"/>
          <w:lang w:val="zh-CN"/>
        </w:rPr>
        <w:t>；J200：施用硒素活化剂2</w:t>
      </w:r>
      <w:r>
        <w:rPr>
          <w:rFonts w:ascii="仿宋_GB2312" w:hAnsi="宋体" w:eastAsia="仿宋_GB2312"/>
          <w:sz w:val="28"/>
          <w:szCs w:val="32"/>
          <w:lang w:val="zh-CN"/>
        </w:rPr>
        <w:t>0</w:t>
      </w:r>
      <w:r>
        <w:rPr>
          <w:rFonts w:hint="eastAsia" w:ascii="仿宋_GB2312" w:hAnsi="宋体" w:eastAsia="仿宋_GB2312"/>
          <w:sz w:val="28"/>
          <w:szCs w:val="32"/>
          <w:lang w:val="zh-CN"/>
        </w:rPr>
        <w:t>0</w:t>
      </w:r>
      <w:r>
        <w:rPr>
          <w:rFonts w:ascii="仿宋_GB2312" w:hAnsi="宋体" w:eastAsia="仿宋_GB2312"/>
          <w:sz w:val="28"/>
          <w:szCs w:val="32"/>
          <w:lang w:val="zh-CN"/>
        </w:rPr>
        <w:t>kg/亩</w:t>
      </w:r>
      <w:r>
        <w:rPr>
          <w:rFonts w:hint="eastAsia" w:ascii="仿宋_GB2312" w:hAnsi="宋体" w:eastAsia="仿宋_GB2312"/>
          <w:sz w:val="28"/>
          <w:szCs w:val="32"/>
          <w:lang w:val="zh-CN"/>
        </w:rPr>
        <w:t>。</w:t>
      </w:r>
      <w:r>
        <w:rPr>
          <w:rFonts w:ascii="仿宋_GB2312" w:hAnsi="宋体" w:eastAsia="仿宋_GB2312"/>
          <w:sz w:val="28"/>
          <w:szCs w:val="32"/>
          <w:lang w:val="zh-CN"/>
        </w:rPr>
        <w:t>每个处理三次重复</w:t>
      </w:r>
      <w:r>
        <w:rPr>
          <w:rFonts w:hint="eastAsia" w:ascii="仿宋_GB2312" w:hAnsi="宋体" w:eastAsia="仿宋_GB2312"/>
          <w:sz w:val="28"/>
          <w:szCs w:val="32"/>
          <w:lang w:val="zh-CN"/>
        </w:rPr>
        <w:t>。</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试验结果：</w:t>
      </w:r>
    </w:p>
    <w:p>
      <w:pPr>
        <w:ind w:firstLine="560" w:firstLineChars="200"/>
        <w:rPr>
          <w:color w:val="3333FF"/>
          <w:sz w:val="28"/>
          <w:szCs w:val="28"/>
        </w:rPr>
      </w:pPr>
      <w:r>
        <w:rPr>
          <w:rFonts w:ascii="仿宋_GB2312" w:hAnsi="宋体" w:eastAsia="仿宋_GB2312"/>
          <w:sz w:val="28"/>
          <w:szCs w:val="32"/>
          <w:lang w:val="zh-CN"/>
        </w:rPr>
        <w:t>检测结果显示：</w:t>
      </w:r>
      <w:r>
        <w:rPr>
          <w:rFonts w:hint="eastAsia" w:ascii="仿宋_GB2312" w:hAnsi="宋体" w:eastAsia="仿宋_GB2312"/>
          <w:b/>
          <w:sz w:val="28"/>
          <w:szCs w:val="32"/>
          <w:lang w:val="zh-CN"/>
        </w:rPr>
        <w:t>蒙圩茶园</w:t>
      </w:r>
      <w:r>
        <w:rPr>
          <w:rFonts w:ascii="仿宋_GB2312" w:hAnsi="宋体" w:eastAsia="仿宋_GB2312"/>
          <w:sz w:val="28"/>
          <w:szCs w:val="32"/>
          <w:lang w:val="zh-CN"/>
        </w:rPr>
        <w:t>对照组0.1</w:t>
      </w:r>
      <w:r>
        <w:rPr>
          <w:rFonts w:hint="eastAsia" w:ascii="仿宋_GB2312" w:hAnsi="宋体" w:eastAsia="仿宋_GB2312"/>
          <w:sz w:val="28"/>
          <w:szCs w:val="32"/>
          <w:lang w:val="zh-CN"/>
        </w:rPr>
        <w:t>6</w:t>
      </w:r>
      <w:r>
        <w:rPr>
          <w:rFonts w:ascii="仿宋_GB2312" w:hAnsi="宋体" w:eastAsia="仿宋_GB2312"/>
          <w:sz w:val="28"/>
          <w:szCs w:val="32"/>
          <w:lang w:val="zh-CN"/>
        </w:rPr>
        <w:t xml:space="preserve"> mg/kg，施加</w:t>
      </w:r>
      <w:r>
        <w:rPr>
          <w:rFonts w:hint="eastAsia" w:ascii="仿宋_GB2312" w:hAnsi="宋体" w:eastAsia="仿宋_GB2312"/>
          <w:sz w:val="28"/>
          <w:szCs w:val="32"/>
          <w:lang w:val="zh-CN"/>
        </w:rPr>
        <w:t>硒素活化剂</w:t>
      </w:r>
      <w:r>
        <w:rPr>
          <w:rFonts w:ascii="仿宋_GB2312" w:hAnsi="宋体" w:eastAsia="仿宋_GB2312"/>
          <w:sz w:val="28"/>
          <w:szCs w:val="32"/>
          <w:lang w:val="zh-CN"/>
        </w:rPr>
        <w:t>后茶叶的总硒含量0.</w:t>
      </w:r>
      <w:r>
        <w:rPr>
          <w:rFonts w:hint="eastAsia" w:ascii="仿宋_GB2312" w:hAnsi="宋体" w:eastAsia="仿宋_GB2312"/>
          <w:sz w:val="28"/>
          <w:szCs w:val="32"/>
          <w:lang w:val="zh-CN"/>
        </w:rPr>
        <w:t>18</w:t>
      </w:r>
      <w:r>
        <w:rPr>
          <w:rFonts w:hint="eastAsia" w:ascii="宋体" w:hAnsi="宋体"/>
          <w:sz w:val="28"/>
          <w:szCs w:val="32"/>
          <w:lang w:val="zh-CN"/>
        </w:rPr>
        <w:t>～</w:t>
      </w:r>
      <w:r>
        <w:rPr>
          <w:rFonts w:hint="eastAsia" w:ascii="仿宋_GB2312" w:hAnsi="宋体" w:eastAsia="仿宋_GB2312"/>
          <w:sz w:val="28"/>
          <w:szCs w:val="32"/>
          <w:lang w:val="zh-CN"/>
        </w:rPr>
        <w:t>0.28</w:t>
      </w:r>
      <w:r>
        <w:rPr>
          <w:rFonts w:ascii="仿宋_GB2312" w:hAnsi="宋体" w:eastAsia="仿宋_GB2312"/>
          <w:sz w:val="28"/>
          <w:szCs w:val="32"/>
          <w:lang w:val="zh-CN"/>
        </w:rPr>
        <w:t xml:space="preserve"> mg/kg</w:t>
      </w:r>
      <w:r>
        <w:rPr>
          <w:rFonts w:hint="eastAsia" w:ascii="仿宋_GB2312" w:hAnsi="宋体" w:eastAsia="仿宋_GB2312"/>
          <w:sz w:val="28"/>
          <w:szCs w:val="32"/>
          <w:lang w:val="zh-CN"/>
        </w:rPr>
        <w:t>；</w:t>
      </w:r>
      <w:r>
        <w:rPr>
          <w:rFonts w:hint="eastAsia" w:ascii="仿宋_GB2312" w:hAnsi="宋体" w:eastAsia="仿宋_GB2312"/>
          <w:b/>
          <w:sz w:val="28"/>
          <w:szCs w:val="32"/>
          <w:lang w:val="zh-CN"/>
        </w:rPr>
        <w:t>前进村茶园</w:t>
      </w:r>
      <w:r>
        <w:rPr>
          <w:rFonts w:ascii="仿宋_GB2312" w:hAnsi="宋体" w:eastAsia="仿宋_GB2312"/>
          <w:sz w:val="28"/>
          <w:szCs w:val="32"/>
          <w:lang w:val="zh-CN"/>
        </w:rPr>
        <w:t>对照组0.</w:t>
      </w:r>
      <w:r>
        <w:rPr>
          <w:rFonts w:hint="eastAsia" w:ascii="仿宋_GB2312" w:hAnsi="宋体" w:eastAsia="仿宋_GB2312"/>
          <w:sz w:val="28"/>
          <w:szCs w:val="32"/>
          <w:lang w:val="zh-CN"/>
        </w:rPr>
        <w:t xml:space="preserve">05 </w:t>
      </w:r>
      <w:r>
        <w:rPr>
          <w:rFonts w:ascii="仿宋_GB2312" w:hAnsi="宋体" w:eastAsia="仿宋_GB2312"/>
          <w:sz w:val="28"/>
          <w:szCs w:val="32"/>
          <w:lang w:val="zh-CN"/>
        </w:rPr>
        <w:t>mg/kg，施加</w:t>
      </w:r>
      <w:r>
        <w:rPr>
          <w:rFonts w:hint="eastAsia" w:ascii="仿宋_GB2312" w:hAnsi="宋体" w:eastAsia="仿宋_GB2312"/>
          <w:sz w:val="28"/>
          <w:szCs w:val="32"/>
          <w:lang w:val="zh-CN"/>
        </w:rPr>
        <w:t>硒素活化剂</w:t>
      </w:r>
      <w:r>
        <w:rPr>
          <w:rFonts w:ascii="仿宋_GB2312" w:hAnsi="宋体" w:eastAsia="仿宋_GB2312"/>
          <w:sz w:val="28"/>
          <w:szCs w:val="32"/>
          <w:lang w:val="zh-CN"/>
        </w:rPr>
        <w:t>后茶叶的总硒含量</w:t>
      </w:r>
      <w:r>
        <w:rPr>
          <w:rFonts w:hint="eastAsia" w:ascii="仿宋_GB2312" w:hAnsi="宋体" w:eastAsia="仿宋_GB2312"/>
          <w:sz w:val="28"/>
          <w:szCs w:val="32"/>
          <w:lang w:val="zh-CN"/>
        </w:rPr>
        <w:t>0.11</w:t>
      </w:r>
      <w:r>
        <w:rPr>
          <w:rFonts w:hint="eastAsia" w:ascii="宋体" w:hAnsi="宋体"/>
          <w:sz w:val="28"/>
          <w:szCs w:val="32"/>
          <w:lang w:val="zh-CN"/>
        </w:rPr>
        <w:t>～</w:t>
      </w:r>
      <w:r>
        <w:rPr>
          <w:rFonts w:hint="eastAsia" w:ascii="仿宋_GB2312" w:hAnsi="宋体" w:eastAsia="仿宋_GB2312"/>
          <w:sz w:val="28"/>
          <w:szCs w:val="32"/>
          <w:lang w:val="zh-CN"/>
        </w:rPr>
        <w:t>0.33</w:t>
      </w:r>
      <w:r>
        <w:rPr>
          <w:rFonts w:ascii="仿宋_GB2312" w:hAnsi="宋体" w:eastAsia="仿宋_GB2312"/>
          <w:sz w:val="28"/>
          <w:szCs w:val="32"/>
          <w:lang w:val="zh-CN"/>
        </w:rPr>
        <w:t xml:space="preserve"> mg/kg</w:t>
      </w:r>
      <w:r>
        <w:rPr>
          <w:rFonts w:hint="eastAsia" w:ascii="仿宋_GB2312" w:hAnsi="宋体" w:eastAsia="仿宋_GB2312"/>
          <w:sz w:val="28"/>
          <w:szCs w:val="32"/>
          <w:lang w:val="zh-CN"/>
        </w:rPr>
        <w:t>；两茶园硒素活化剂亩施用量为150 kg～</w:t>
      </w:r>
      <w:r>
        <w:rPr>
          <w:rFonts w:ascii="仿宋_GB2312" w:hAnsi="宋体" w:eastAsia="仿宋_GB2312"/>
          <w:sz w:val="28"/>
          <w:szCs w:val="32"/>
          <w:lang w:val="zh-CN"/>
        </w:rPr>
        <w:t>2</w:t>
      </w:r>
      <w:r>
        <w:rPr>
          <w:rFonts w:hint="eastAsia" w:ascii="仿宋_GB2312" w:hAnsi="宋体" w:eastAsia="仿宋_GB2312"/>
          <w:sz w:val="28"/>
          <w:szCs w:val="32"/>
          <w:lang w:val="zh-CN"/>
        </w:rPr>
        <w:t>0</w:t>
      </w:r>
      <w:r>
        <w:rPr>
          <w:rFonts w:ascii="仿宋_GB2312" w:hAnsi="宋体" w:eastAsia="仿宋_GB2312"/>
          <w:sz w:val="28"/>
          <w:szCs w:val="32"/>
          <w:lang w:val="zh-CN"/>
        </w:rPr>
        <w:t>0</w:t>
      </w:r>
      <w:r>
        <w:rPr>
          <w:rFonts w:hint="eastAsia" w:ascii="仿宋_GB2312" w:hAnsi="宋体" w:eastAsia="仿宋_GB2312"/>
          <w:sz w:val="28"/>
          <w:szCs w:val="32"/>
          <w:lang w:val="zh-CN"/>
        </w:rPr>
        <w:t xml:space="preserve"> kg时，茶叶可达富硒标准</w:t>
      </w:r>
      <w:r>
        <w:rPr>
          <w:rFonts w:ascii="仿宋_GB2312" w:hAnsi="宋体" w:eastAsia="仿宋_GB2312"/>
          <w:sz w:val="28"/>
          <w:szCs w:val="32"/>
          <w:lang w:val="zh-CN"/>
        </w:rPr>
        <w:t>（0.25</w:t>
      </w:r>
      <w:r>
        <w:rPr>
          <w:rFonts w:hint="eastAsia" w:ascii="宋体" w:hAnsi="宋体"/>
          <w:sz w:val="28"/>
          <w:szCs w:val="32"/>
          <w:lang w:val="zh-CN"/>
        </w:rPr>
        <w:t>～4</w:t>
      </w:r>
      <w:r>
        <w:rPr>
          <w:rFonts w:hint="eastAsia" w:ascii="仿宋_GB2312" w:hAnsi="宋体" w:eastAsia="仿宋_GB2312"/>
          <w:sz w:val="28"/>
          <w:szCs w:val="32"/>
          <w:lang w:val="zh-CN"/>
        </w:rPr>
        <w:t xml:space="preserve">.00 </w:t>
      </w:r>
      <w:r>
        <w:rPr>
          <w:rFonts w:ascii="仿宋_GB2312" w:hAnsi="宋体" w:eastAsia="仿宋_GB2312"/>
          <w:sz w:val="28"/>
          <w:szCs w:val="32"/>
          <w:lang w:val="zh-CN"/>
        </w:rPr>
        <w:t>mg/kg</w:t>
      </w:r>
      <w:r>
        <w:rPr>
          <w:rFonts w:hint="eastAsia" w:ascii="仿宋_GB2312" w:hAnsi="宋体" w:eastAsia="仿宋_GB2312"/>
          <w:sz w:val="28"/>
          <w:szCs w:val="32"/>
          <w:lang w:val="zh-CN"/>
        </w:rPr>
        <w:t xml:space="preserve"> </w:t>
      </w:r>
      <w:r>
        <w:rPr>
          <w:rFonts w:ascii="仿宋_GB2312" w:hAnsi="宋体" w:eastAsia="仿宋_GB2312"/>
          <w:sz w:val="28"/>
          <w:szCs w:val="32"/>
          <w:lang w:val="zh-CN"/>
        </w:rPr>
        <w:t>）</w:t>
      </w:r>
      <w:r>
        <w:rPr>
          <w:color w:val="3333FF"/>
          <w:sz w:val="28"/>
          <w:szCs w:val="28"/>
        </w:rPr>
        <w:t>。</w:t>
      </w:r>
    </w:p>
    <w:p>
      <w:pPr>
        <w:jc w:val="center"/>
        <w:rPr>
          <w:rFonts w:ascii="仿宋_GB2312" w:eastAsia="仿宋_GB2312" w:hAnsiTheme="minorEastAsia"/>
          <w:sz w:val="28"/>
          <w:szCs w:val="28"/>
        </w:rPr>
      </w:pPr>
      <w:r>
        <w:rPr>
          <w:rFonts w:hint="eastAsia" w:ascii="仿宋_GB2312" w:eastAsia="仿宋_GB2312" w:hAnsiTheme="minorEastAsia"/>
          <w:sz w:val="28"/>
          <w:szCs w:val="28"/>
        </w:rPr>
        <w:t>表2  茶叶总硒含量</w:t>
      </w:r>
    </w:p>
    <w:tbl>
      <w:tblPr>
        <w:tblStyle w:val="6"/>
        <w:tblW w:w="7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4"/>
        <w:gridCol w:w="2176"/>
        <w:gridCol w:w="3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shd w:val="clear" w:color="auto" w:fill="auto"/>
            <w:noWrap/>
            <w:vAlign w:val="center"/>
          </w:tcPr>
          <w:p>
            <w:pPr>
              <w:jc w:val="center"/>
              <w:rPr>
                <w:rFonts w:ascii="仿宋_GB2312" w:eastAsia="仿宋_GB2312"/>
                <w:szCs w:val="21"/>
              </w:rPr>
            </w:pPr>
            <w:r>
              <w:rPr>
                <w:rFonts w:hint="eastAsia" w:ascii="仿宋_GB2312" w:eastAsia="仿宋_GB2312"/>
                <w:szCs w:val="21"/>
              </w:rPr>
              <w:t>采茶时间</w:t>
            </w:r>
          </w:p>
        </w:tc>
        <w:tc>
          <w:tcPr>
            <w:tcW w:w="2176" w:type="dxa"/>
            <w:vAlign w:val="center"/>
          </w:tcPr>
          <w:p>
            <w:pPr>
              <w:jc w:val="center"/>
              <w:rPr>
                <w:rFonts w:ascii="仿宋_GB2312" w:eastAsia="仿宋_GB2312"/>
                <w:szCs w:val="21"/>
              </w:rPr>
            </w:pPr>
            <w:r>
              <w:rPr>
                <w:rFonts w:hint="eastAsia" w:ascii="仿宋_GB2312" w:eastAsia="仿宋_GB2312"/>
                <w:szCs w:val="21"/>
              </w:rPr>
              <w:t>处理</w:t>
            </w:r>
          </w:p>
        </w:tc>
        <w:tc>
          <w:tcPr>
            <w:tcW w:w="3474" w:type="dxa"/>
            <w:shd w:val="clear" w:color="auto" w:fill="auto"/>
            <w:noWrap/>
            <w:vAlign w:val="center"/>
          </w:tcPr>
          <w:p>
            <w:pPr>
              <w:jc w:val="center"/>
              <w:rPr>
                <w:rFonts w:ascii="仿宋_GB2312" w:eastAsia="仿宋_GB2312" w:hAnsiTheme="minorEastAsia"/>
                <w:szCs w:val="21"/>
              </w:rPr>
            </w:pPr>
            <w:r>
              <w:rPr>
                <w:rFonts w:hint="eastAsia" w:ascii="仿宋_GB2312" w:eastAsia="仿宋_GB2312" w:hAnsiTheme="minorEastAsia"/>
                <w:szCs w:val="21"/>
              </w:rPr>
              <w:t>样品总硒</w:t>
            </w:r>
          </w:p>
          <w:p>
            <w:pPr>
              <w:jc w:val="center"/>
              <w:rPr>
                <w:rFonts w:ascii="仿宋_GB2312" w:eastAsia="仿宋_GB2312"/>
                <w:szCs w:val="21"/>
              </w:rPr>
            </w:pPr>
            <w:r>
              <w:rPr>
                <w:rFonts w:hint="eastAsia" w:ascii="仿宋_GB2312" w:eastAsia="仿宋_GB2312" w:hAnsiTheme="minorEastAsia"/>
                <w:szCs w:val="21"/>
              </w:rPr>
              <w:t>（</w:t>
            </w:r>
            <w:r>
              <w:rPr>
                <w:rFonts w:hint="eastAsia" w:ascii="仿宋_GB2312" w:eastAsia="仿宋_GB2312"/>
                <w:szCs w:val="21"/>
              </w:rPr>
              <w:t>mg/kg</w:t>
            </w:r>
            <w:r>
              <w:rPr>
                <w:rFonts w:hint="eastAsia" w:ascii="仿宋_GB2312" w:eastAsia="仿宋_GB2312"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restart"/>
            <w:shd w:val="clear" w:color="auto" w:fill="auto"/>
            <w:noWrap/>
            <w:vAlign w:val="center"/>
          </w:tcPr>
          <w:p>
            <w:pPr>
              <w:jc w:val="center"/>
              <w:rPr>
                <w:rFonts w:ascii="仿宋_GB2312" w:eastAsia="仿宋_GB2312"/>
                <w:szCs w:val="21"/>
              </w:rPr>
            </w:pPr>
            <w:r>
              <w:rPr>
                <w:rFonts w:hint="eastAsia" w:ascii="仿宋_GB2312" w:eastAsia="仿宋_GB2312"/>
                <w:szCs w:val="21"/>
              </w:rPr>
              <w:t>2018.6.8</w:t>
            </w:r>
          </w:p>
        </w:tc>
        <w:tc>
          <w:tcPr>
            <w:tcW w:w="2176" w:type="dxa"/>
            <w:vAlign w:val="center"/>
          </w:tcPr>
          <w:p>
            <w:pPr>
              <w:jc w:val="left"/>
              <w:rPr>
                <w:rFonts w:ascii="仿宋_GB2312" w:eastAsia="仿宋_GB2312"/>
                <w:szCs w:val="21"/>
              </w:rPr>
            </w:pPr>
            <w:r>
              <w:rPr>
                <w:rFonts w:hint="eastAsia" w:ascii="仿宋_GB2312" w:eastAsia="仿宋_GB2312" w:hAnsiTheme="minorEastAsia"/>
                <w:szCs w:val="21"/>
              </w:rPr>
              <w:t>蒙圩</w:t>
            </w:r>
            <w:r>
              <w:rPr>
                <w:rFonts w:hint="eastAsia" w:ascii="仿宋_GB2312" w:eastAsia="仿宋_GB2312"/>
                <w:szCs w:val="21"/>
              </w:rPr>
              <w:t>CK</w:t>
            </w:r>
          </w:p>
        </w:tc>
        <w:tc>
          <w:tcPr>
            <w:tcW w:w="3474" w:type="dxa"/>
            <w:shd w:val="clear" w:color="auto" w:fill="auto"/>
            <w:noWrap/>
            <w:vAlign w:val="center"/>
          </w:tcPr>
          <w:p>
            <w:pPr>
              <w:jc w:val="center"/>
              <w:rPr>
                <w:rFonts w:ascii="仿宋_GB2312" w:eastAsia="仿宋_GB2312"/>
                <w:b/>
                <w:szCs w:val="21"/>
              </w:rPr>
            </w:pPr>
            <w:r>
              <w:rPr>
                <w:rFonts w:hint="eastAsia" w:ascii="仿宋_GB2312" w:eastAsia="仿宋_GB2312"/>
                <w:b/>
                <w:szCs w:val="21"/>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continue"/>
            <w:shd w:val="clear" w:color="auto" w:fill="auto"/>
            <w:noWrap/>
            <w:vAlign w:val="center"/>
          </w:tcPr>
          <w:p>
            <w:pPr>
              <w:jc w:val="center"/>
              <w:rPr>
                <w:rFonts w:ascii="仿宋_GB2312" w:eastAsia="仿宋_GB2312"/>
                <w:szCs w:val="21"/>
              </w:rPr>
            </w:pPr>
          </w:p>
        </w:tc>
        <w:tc>
          <w:tcPr>
            <w:tcW w:w="2176" w:type="dxa"/>
            <w:vAlign w:val="center"/>
          </w:tcPr>
          <w:p>
            <w:pPr>
              <w:jc w:val="left"/>
              <w:rPr>
                <w:rFonts w:ascii="仿宋_GB2312" w:eastAsia="仿宋_GB2312"/>
                <w:szCs w:val="21"/>
              </w:rPr>
            </w:pPr>
            <w:r>
              <w:rPr>
                <w:rFonts w:hint="eastAsia" w:ascii="仿宋_GB2312" w:eastAsia="仿宋_GB2312" w:hAnsiTheme="minorEastAsia"/>
                <w:szCs w:val="21"/>
              </w:rPr>
              <w:t>蒙圩</w:t>
            </w:r>
            <w:r>
              <w:rPr>
                <w:rFonts w:hint="eastAsia" w:ascii="仿宋_GB2312" w:eastAsia="仿宋_GB2312"/>
                <w:szCs w:val="21"/>
              </w:rPr>
              <w:t>J50</w:t>
            </w:r>
          </w:p>
        </w:tc>
        <w:tc>
          <w:tcPr>
            <w:tcW w:w="3474" w:type="dxa"/>
            <w:shd w:val="clear" w:color="auto" w:fill="auto"/>
            <w:noWrap/>
            <w:vAlign w:val="center"/>
          </w:tcPr>
          <w:p>
            <w:pPr>
              <w:jc w:val="center"/>
              <w:rPr>
                <w:rFonts w:ascii="仿宋_GB2312" w:eastAsia="仿宋_GB2312"/>
                <w:szCs w:val="21"/>
              </w:rPr>
            </w:pPr>
            <w:r>
              <w:rPr>
                <w:rFonts w:hint="eastAsia" w:ascii="仿宋_GB2312" w:eastAsia="仿宋_GB2312"/>
                <w:szCs w:val="21"/>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continue"/>
            <w:shd w:val="clear" w:color="auto" w:fill="auto"/>
            <w:noWrap/>
            <w:vAlign w:val="center"/>
          </w:tcPr>
          <w:p>
            <w:pPr>
              <w:jc w:val="center"/>
              <w:rPr>
                <w:rFonts w:ascii="仿宋_GB2312" w:eastAsia="仿宋_GB2312"/>
                <w:szCs w:val="21"/>
              </w:rPr>
            </w:pPr>
          </w:p>
        </w:tc>
        <w:tc>
          <w:tcPr>
            <w:tcW w:w="2176" w:type="dxa"/>
            <w:vAlign w:val="center"/>
          </w:tcPr>
          <w:p>
            <w:pPr>
              <w:jc w:val="left"/>
              <w:rPr>
                <w:rFonts w:ascii="仿宋_GB2312" w:eastAsia="仿宋_GB2312"/>
                <w:szCs w:val="21"/>
              </w:rPr>
            </w:pPr>
            <w:r>
              <w:rPr>
                <w:rFonts w:hint="eastAsia" w:ascii="仿宋_GB2312" w:eastAsia="仿宋_GB2312" w:hAnsiTheme="minorEastAsia"/>
                <w:szCs w:val="21"/>
              </w:rPr>
              <w:t>蒙圩</w:t>
            </w:r>
            <w:r>
              <w:rPr>
                <w:rFonts w:hint="eastAsia" w:ascii="仿宋_GB2312" w:eastAsia="仿宋_GB2312"/>
                <w:szCs w:val="21"/>
              </w:rPr>
              <w:t>J100</w:t>
            </w:r>
          </w:p>
        </w:tc>
        <w:tc>
          <w:tcPr>
            <w:tcW w:w="3474" w:type="dxa"/>
            <w:shd w:val="clear" w:color="auto" w:fill="auto"/>
            <w:noWrap/>
            <w:vAlign w:val="center"/>
          </w:tcPr>
          <w:p>
            <w:pPr>
              <w:jc w:val="center"/>
              <w:rPr>
                <w:rFonts w:ascii="仿宋_GB2312" w:eastAsia="仿宋_GB2312"/>
                <w:szCs w:val="21"/>
              </w:rPr>
            </w:pPr>
            <w:r>
              <w:rPr>
                <w:rFonts w:hint="eastAsia" w:ascii="仿宋_GB2312" w:eastAsia="仿宋_GB2312"/>
                <w:szCs w:val="21"/>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continue"/>
            <w:shd w:val="clear" w:color="auto" w:fill="auto"/>
            <w:noWrap/>
            <w:vAlign w:val="center"/>
          </w:tcPr>
          <w:p>
            <w:pPr>
              <w:jc w:val="center"/>
              <w:rPr>
                <w:rFonts w:ascii="仿宋_GB2312" w:eastAsia="仿宋_GB2312"/>
                <w:szCs w:val="21"/>
              </w:rPr>
            </w:pPr>
          </w:p>
        </w:tc>
        <w:tc>
          <w:tcPr>
            <w:tcW w:w="2176" w:type="dxa"/>
            <w:vAlign w:val="center"/>
          </w:tcPr>
          <w:p>
            <w:pPr>
              <w:jc w:val="left"/>
              <w:rPr>
                <w:rFonts w:ascii="仿宋_GB2312" w:eastAsia="仿宋_GB2312"/>
                <w:szCs w:val="21"/>
              </w:rPr>
            </w:pPr>
            <w:r>
              <w:rPr>
                <w:rFonts w:hint="eastAsia" w:ascii="仿宋_GB2312" w:eastAsia="仿宋_GB2312" w:hAnsiTheme="minorEastAsia"/>
                <w:szCs w:val="21"/>
              </w:rPr>
              <w:t>蒙圩</w:t>
            </w:r>
            <w:r>
              <w:rPr>
                <w:rFonts w:hint="eastAsia" w:ascii="仿宋_GB2312" w:eastAsia="仿宋_GB2312"/>
                <w:szCs w:val="21"/>
              </w:rPr>
              <w:t>J150</w:t>
            </w:r>
          </w:p>
        </w:tc>
        <w:tc>
          <w:tcPr>
            <w:tcW w:w="3474" w:type="dxa"/>
            <w:shd w:val="clear" w:color="auto" w:fill="auto"/>
            <w:noWrap/>
            <w:vAlign w:val="center"/>
          </w:tcPr>
          <w:p>
            <w:pPr>
              <w:jc w:val="center"/>
              <w:rPr>
                <w:rFonts w:ascii="仿宋_GB2312" w:eastAsia="仿宋_GB2312"/>
                <w:szCs w:val="21"/>
              </w:rPr>
            </w:pPr>
            <w:r>
              <w:rPr>
                <w:rFonts w:hint="eastAsia" w:ascii="仿宋_GB2312" w:eastAsia="仿宋_GB2312"/>
                <w:szCs w:val="21"/>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continue"/>
            <w:shd w:val="clear" w:color="auto" w:fill="auto"/>
            <w:noWrap/>
            <w:vAlign w:val="center"/>
          </w:tcPr>
          <w:p>
            <w:pPr>
              <w:jc w:val="center"/>
              <w:rPr>
                <w:rFonts w:ascii="仿宋_GB2312" w:eastAsia="仿宋_GB2312"/>
                <w:szCs w:val="21"/>
              </w:rPr>
            </w:pPr>
          </w:p>
        </w:tc>
        <w:tc>
          <w:tcPr>
            <w:tcW w:w="2176" w:type="dxa"/>
            <w:vAlign w:val="center"/>
          </w:tcPr>
          <w:p>
            <w:pPr>
              <w:jc w:val="left"/>
              <w:rPr>
                <w:rFonts w:ascii="仿宋_GB2312" w:eastAsia="仿宋_GB2312" w:hAnsiTheme="minorEastAsia"/>
                <w:szCs w:val="21"/>
              </w:rPr>
            </w:pPr>
            <w:r>
              <w:rPr>
                <w:rFonts w:hint="eastAsia" w:ascii="仿宋_GB2312" w:eastAsia="仿宋_GB2312" w:hAnsiTheme="minorEastAsia"/>
                <w:szCs w:val="21"/>
              </w:rPr>
              <w:t>蒙圩J200</w:t>
            </w:r>
          </w:p>
        </w:tc>
        <w:tc>
          <w:tcPr>
            <w:tcW w:w="3474" w:type="dxa"/>
            <w:shd w:val="clear" w:color="auto" w:fill="auto"/>
            <w:noWrap/>
            <w:vAlign w:val="center"/>
          </w:tcPr>
          <w:p>
            <w:pPr>
              <w:jc w:val="center"/>
              <w:rPr>
                <w:rFonts w:ascii="仿宋_GB2312" w:eastAsia="仿宋_GB2312"/>
                <w:szCs w:val="21"/>
              </w:rPr>
            </w:pPr>
            <w:r>
              <w:rPr>
                <w:rFonts w:hint="eastAsia" w:ascii="仿宋_GB2312" w:eastAsia="仿宋_GB2312"/>
                <w:szCs w:val="21"/>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restart"/>
            <w:shd w:val="clear" w:color="auto" w:fill="auto"/>
            <w:noWrap/>
            <w:vAlign w:val="center"/>
          </w:tcPr>
          <w:p>
            <w:pPr>
              <w:jc w:val="center"/>
              <w:rPr>
                <w:rFonts w:ascii="仿宋_GB2312" w:eastAsia="仿宋_GB2312"/>
                <w:szCs w:val="21"/>
              </w:rPr>
            </w:pPr>
            <w:r>
              <w:rPr>
                <w:rFonts w:hint="eastAsia" w:ascii="仿宋_GB2312" w:eastAsia="仿宋_GB2312"/>
                <w:szCs w:val="21"/>
              </w:rPr>
              <w:t>2019.6.20</w:t>
            </w:r>
          </w:p>
        </w:tc>
        <w:tc>
          <w:tcPr>
            <w:tcW w:w="2176" w:type="dxa"/>
            <w:vAlign w:val="center"/>
          </w:tcPr>
          <w:p>
            <w:pPr>
              <w:jc w:val="left"/>
              <w:rPr>
                <w:rFonts w:ascii="仿宋_GB2312" w:eastAsia="仿宋_GB2312"/>
                <w:szCs w:val="21"/>
              </w:rPr>
            </w:pPr>
            <w:r>
              <w:rPr>
                <w:rFonts w:hint="eastAsia" w:ascii="仿宋_GB2312" w:eastAsia="仿宋_GB2312" w:hAnsiTheme="minorEastAsia"/>
                <w:szCs w:val="21"/>
              </w:rPr>
              <w:t>前进村</w:t>
            </w:r>
            <w:r>
              <w:rPr>
                <w:rFonts w:hint="eastAsia" w:ascii="仿宋_GB2312" w:eastAsia="仿宋_GB2312"/>
                <w:szCs w:val="21"/>
              </w:rPr>
              <w:t>CK</w:t>
            </w:r>
          </w:p>
        </w:tc>
        <w:tc>
          <w:tcPr>
            <w:tcW w:w="3474" w:type="dxa"/>
            <w:shd w:val="clear" w:color="auto" w:fill="auto"/>
            <w:noWrap/>
            <w:vAlign w:val="center"/>
          </w:tcPr>
          <w:p>
            <w:pPr>
              <w:jc w:val="center"/>
              <w:rPr>
                <w:rFonts w:ascii="仿宋_GB2312" w:eastAsia="仿宋_GB2312"/>
                <w:b/>
                <w:szCs w:val="21"/>
              </w:rPr>
            </w:pPr>
            <w:r>
              <w:rPr>
                <w:rFonts w:hint="eastAsia" w:ascii="仿宋_GB2312" w:eastAsia="仿宋_GB2312"/>
                <w:b/>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continue"/>
            <w:shd w:val="clear" w:color="auto" w:fill="auto"/>
            <w:noWrap/>
            <w:vAlign w:val="center"/>
          </w:tcPr>
          <w:p>
            <w:pPr>
              <w:jc w:val="center"/>
              <w:rPr>
                <w:rFonts w:ascii="仿宋_GB2312" w:eastAsia="仿宋_GB2312"/>
                <w:szCs w:val="21"/>
              </w:rPr>
            </w:pPr>
          </w:p>
        </w:tc>
        <w:tc>
          <w:tcPr>
            <w:tcW w:w="2176" w:type="dxa"/>
            <w:vAlign w:val="center"/>
          </w:tcPr>
          <w:p>
            <w:pPr>
              <w:jc w:val="left"/>
              <w:rPr>
                <w:rFonts w:ascii="仿宋_GB2312" w:eastAsia="仿宋_GB2312"/>
                <w:szCs w:val="21"/>
              </w:rPr>
            </w:pPr>
            <w:r>
              <w:rPr>
                <w:rFonts w:hint="eastAsia" w:ascii="仿宋_GB2312" w:eastAsia="仿宋_GB2312" w:hAnsiTheme="minorEastAsia"/>
                <w:szCs w:val="21"/>
              </w:rPr>
              <w:t>前进村</w:t>
            </w:r>
            <w:r>
              <w:rPr>
                <w:rFonts w:hint="eastAsia" w:ascii="仿宋_GB2312" w:eastAsia="仿宋_GB2312"/>
                <w:szCs w:val="21"/>
              </w:rPr>
              <w:t>J50</w:t>
            </w:r>
          </w:p>
        </w:tc>
        <w:tc>
          <w:tcPr>
            <w:tcW w:w="3474" w:type="dxa"/>
            <w:shd w:val="clear" w:color="auto" w:fill="auto"/>
            <w:noWrap/>
            <w:vAlign w:val="center"/>
          </w:tcPr>
          <w:p>
            <w:pPr>
              <w:jc w:val="center"/>
              <w:rPr>
                <w:rFonts w:ascii="仿宋_GB2312" w:eastAsia="仿宋_GB2312"/>
                <w:szCs w:val="21"/>
              </w:rPr>
            </w:pPr>
            <w:r>
              <w:rPr>
                <w:rFonts w:hint="eastAsia" w:ascii="仿宋_GB2312" w:eastAsia="仿宋_GB2312"/>
                <w:szCs w:val="21"/>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continue"/>
            <w:shd w:val="clear" w:color="auto" w:fill="auto"/>
            <w:noWrap/>
            <w:vAlign w:val="center"/>
          </w:tcPr>
          <w:p>
            <w:pPr>
              <w:jc w:val="center"/>
              <w:rPr>
                <w:rFonts w:ascii="仿宋_GB2312" w:eastAsia="仿宋_GB2312"/>
                <w:szCs w:val="21"/>
              </w:rPr>
            </w:pPr>
          </w:p>
        </w:tc>
        <w:tc>
          <w:tcPr>
            <w:tcW w:w="2176" w:type="dxa"/>
            <w:vAlign w:val="center"/>
          </w:tcPr>
          <w:p>
            <w:pPr>
              <w:jc w:val="left"/>
              <w:rPr>
                <w:rFonts w:ascii="仿宋_GB2312" w:eastAsia="仿宋_GB2312"/>
                <w:szCs w:val="21"/>
              </w:rPr>
            </w:pPr>
            <w:r>
              <w:rPr>
                <w:rFonts w:hint="eastAsia" w:ascii="仿宋_GB2312" w:eastAsia="仿宋_GB2312" w:hAnsiTheme="minorEastAsia"/>
                <w:szCs w:val="21"/>
              </w:rPr>
              <w:t>前进村</w:t>
            </w:r>
            <w:r>
              <w:rPr>
                <w:rFonts w:hint="eastAsia" w:ascii="仿宋_GB2312" w:eastAsia="仿宋_GB2312"/>
                <w:szCs w:val="21"/>
              </w:rPr>
              <w:t>J100</w:t>
            </w:r>
          </w:p>
        </w:tc>
        <w:tc>
          <w:tcPr>
            <w:tcW w:w="3474" w:type="dxa"/>
            <w:shd w:val="clear" w:color="auto" w:fill="auto"/>
            <w:noWrap/>
            <w:vAlign w:val="center"/>
          </w:tcPr>
          <w:p>
            <w:pPr>
              <w:jc w:val="center"/>
              <w:rPr>
                <w:rFonts w:ascii="仿宋_GB2312" w:eastAsia="仿宋_GB2312"/>
                <w:szCs w:val="21"/>
              </w:rPr>
            </w:pPr>
            <w:r>
              <w:rPr>
                <w:rFonts w:hint="eastAsia" w:ascii="仿宋_GB2312" w:eastAsia="仿宋_GB2312"/>
                <w:szCs w:val="21"/>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continue"/>
            <w:shd w:val="clear" w:color="auto" w:fill="auto"/>
            <w:noWrap/>
            <w:vAlign w:val="center"/>
          </w:tcPr>
          <w:p>
            <w:pPr>
              <w:jc w:val="center"/>
              <w:rPr>
                <w:rFonts w:ascii="仿宋_GB2312" w:eastAsia="仿宋_GB2312"/>
                <w:szCs w:val="21"/>
              </w:rPr>
            </w:pPr>
          </w:p>
        </w:tc>
        <w:tc>
          <w:tcPr>
            <w:tcW w:w="2176" w:type="dxa"/>
            <w:vAlign w:val="center"/>
          </w:tcPr>
          <w:p>
            <w:pPr>
              <w:jc w:val="left"/>
              <w:rPr>
                <w:rFonts w:ascii="仿宋_GB2312" w:eastAsia="仿宋_GB2312"/>
                <w:szCs w:val="21"/>
              </w:rPr>
            </w:pPr>
            <w:r>
              <w:rPr>
                <w:rFonts w:hint="eastAsia" w:ascii="仿宋_GB2312" w:eastAsia="仿宋_GB2312" w:hAnsiTheme="minorEastAsia"/>
                <w:szCs w:val="21"/>
              </w:rPr>
              <w:t>前进村</w:t>
            </w:r>
            <w:r>
              <w:rPr>
                <w:rFonts w:hint="eastAsia" w:ascii="仿宋_GB2312" w:eastAsia="仿宋_GB2312"/>
                <w:szCs w:val="21"/>
              </w:rPr>
              <w:t>J150</w:t>
            </w:r>
          </w:p>
        </w:tc>
        <w:tc>
          <w:tcPr>
            <w:tcW w:w="3474" w:type="dxa"/>
            <w:shd w:val="clear" w:color="auto" w:fill="auto"/>
            <w:noWrap/>
            <w:vAlign w:val="center"/>
          </w:tcPr>
          <w:p>
            <w:pPr>
              <w:jc w:val="center"/>
              <w:rPr>
                <w:rFonts w:ascii="仿宋_GB2312" w:eastAsia="仿宋_GB2312"/>
                <w:szCs w:val="21"/>
              </w:rPr>
            </w:pPr>
            <w:r>
              <w:rPr>
                <w:rFonts w:hint="eastAsia" w:ascii="仿宋_GB2312" w:eastAsia="仿宋_GB2312"/>
                <w:szCs w:val="21"/>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164" w:type="dxa"/>
            <w:vMerge w:val="continue"/>
            <w:shd w:val="clear" w:color="auto" w:fill="auto"/>
            <w:noWrap/>
            <w:vAlign w:val="center"/>
          </w:tcPr>
          <w:p>
            <w:pPr>
              <w:jc w:val="center"/>
              <w:rPr>
                <w:rFonts w:ascii="仿宋_GB2312" w:eastAsia="仿宋_GB2312"/>
                <w:szCs w:val="21"/>
              </w:rPr>
            </w:pPr>
          </w:p>
        </w:tc>
        <w:tc>
          <w:tcPr>
            <w:tcW w:w="2176" w:type="dxa"/>
            <w:vAlign w:val="center"/>
          </w:tcPr>
          <w:p>
            <w:pPr>
              <w:jc w:val="left"/>
              <w:rPr>
                <w:rFonts w:ascii="仿宋_GB2312" w:eastAsia="仿宋_GB2312" w:hAnsiTheme="minorEastAsia"/>
                <w:szCs w:val="21"/>
              </w:rPr>
            </w:pPr>
            <w:r>
              <w:rPr>
                <w:rFonts w:hint="eastAsia" w:ascii="仿宋_GB2312" w:eastAsia="仿宋_GB2312" w:hAnsiTheme="minorEastAsia"/>
                <w:szCs w:val="21"/>
              </w:rPr>
              <w:t>前进村J200</w:t>
            </w:r>
          </w:p>
        </w:tc>
        <w:tc>
          <w:tcPr>
            <w:tcW w:w="3474" w:type="dxa"/>
            <w:shd w:val="clear" w:color="auto" w:fill="auto"/>
            <w:noWrap/>
            <w:vAlign w:val="center"/>
          </w:tcPr>
          <w:p>
            <w:pPr>
              <w:jc w:val="center"/>
              <w:rPr>
                <w:rFonts w:ascii="仿宋_GB2312" w:eastAsia="仿宋_GB2312"/>
                <w:szCs w:val="21"/>
              </w:rPr>
            </w:pPr>
            <w:r>
              <w:rPr>
                <w:rFonts w:hint="eastAsia" w:ascii="仿宋_GB2312" w:eastAsia="仿宋_GB2312"/>
                <w:szCs w:val="21"/>
              </w:rPr>
              <w:t>0.33</w:t>
            </w:r>
          </w:p>
        </w:tc>
      </w:tr>
    </w:tbl>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桂平2020.6示范区应用150kg/亩土壤硒素活化剂的夏茶样品硒含量检测结果如下：</w:t>
      </w:r>
    </w:p>
    <w:p>
      <w:pPr>
        <w:ind w:firstLine="560" w:firstLineChars="200"/>
        <w:jc w:val="center"/>
        <w:rPr>
          <w:rFonts w:ascii="仿宋_GB2312" w:hAnsi="宋体" w:eastAsia="仿宋_GB2312"/>
          <w:sz w:val="28"/>
          <w:szCs w:val="32"/>
          <w:lang w:val="zh-CN"/>
        </w:rPr>
      </w:pPr>
      <w:r>
        <w:rPr>
          <w:rFonts w:hint="eastAsia" w:ascii="仿宋_GB2312" w:hAnsi="宋体" w:eastAsia="仿宋_GB2312"/>
          <w:sz w:val="28"/>
          <w:szCs w:val="32"/>
          <w:lang w:val="zh-CN"/>
        </w:rPr>
        <w:t>表3 土壤硒素活化剂应用示范区夏茶总硒含量</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660"/>
        <w:gridCol w:w="428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4" w:hRule="atLeast"/>
          <w:jc w:val="center"/>
        </w:trPr>
        <w:tc>
          <w:tcPr>
            <w:tcW w:w="3660" w:type="dxa"/>
            <w:vAlign w:val="center"/>
          </w:tcPr>
          <w:p>
            <w:pPr>
              <w:jc w:val="center"/>
              <w:rPr>
                <w:rFonts w:ascii="仿宋_GB2312" w:hAnsi="宋体" w:eastAsia="仿宋_GB2312"/>
                <w:szCs w:val="32"/>
                <w:lang w:val="zh-CN"/>
              </w:rPr>
            </w:pPr>
            <w:r>
              <w:rPr>
                <w:rFonts w:hint="eastAsia" w:ascii="仿宋_GB2312" w:hAnsi="宋体" w:eastAsia="仿宋_GB2312"/>
                <w:szCs w:val="32"/>
                <w:lang w:val="zh-CN"/>
              </w:rPr>
              <w:t>处理</w:t>
            </w:r>
          </w:p>
        </w:tc>
        <w:tc>
          <w:tcPr>
            <w:tcW w:w="4281" w:type="dxa"/>
            <w:vAlign w:val="center"/>
          </w:tcPr>
          <w:p>
            <w:pPr>
              <w:jc w:val="center"/>
              <w:rPr>
                <w:rFonts w:ascii="仿宋_GB2312" w:hAnsi="宋体" w:eastAsia="仿宋_GB2312"/>
                <w:szCs w:val="32"/>
                <w:lang w:val="zh-CN"/>
              </w:rPr>
            </w:pPr>
            <w:r>
              <w:rPr>
                <w:rFonts w:hint="eastAsia" w:ascii="仿宋_GB2312" w:hAnsi="宋体" w:eastAsia="仿宋_GB2312"/>
                <w:szCs w:val="32"/>
                <w:lang w:val="zh-CN"/>
              </w:rPr>
              <w:t>夏茶总硒含量（mg/kg）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4" w:hRule="atLeast"/>
          <w:jc w:val="center"/>
        </w:trPr>
        <w:tc>
          <w:tcPr>
            <w:tcW w:w="3660" w:type="dxa"/>
            <w:vAlign w:val="center"/>
          </w:tcPr>
          <w:p>
            <w:pPr>
              <w:jc w:val="center"/>
              <w:rPr>
                <w:rFonts w:ascii="仿宋_GB2312" w:hAnsi="宋体" w:eastAsia="仿宋_GB2312"/>
                <w:szCs w:val="32"/>
                <w:lang w:val="zh-CN"/>
              </w:rPr>
            </w:pPr>
            <w:r>
              <w:rPr>
                <w:rFonts w:hint="eastAsia" w:ascii="仿宋_GB2312" w:hAnsi="宋体" w:eastAsia="仿宋_GB2312"/>
                <w:szCs w:val="32"/>
                <w:lang w:val="zh-CN"/>
              </w:rPr>
              <w:t>CK</w:t>
            </w:r>
          </w:p>
        </w:tc>
        <w:tc>
          <w:tcPr>
            <w:tcW w:w="4281" w:type="dxa"/>
            <w:vAlign w:val="center"/>
          </w:tcPr>
          <w:p>
            <w:pPr>
              <w:jc w:val="center"/>
              <w:rPr>
                <w:rFonts w:ascii="仿宋_GB2312" w:hAnsi="宋体" w:eastAsia="仿宋_GB2312"/>
                <w:szCs w:val="32"/>
                <w:lang w:val="zh-CN"/>
              </w:rPr>
            </w:pPr>
            <w:r>
              <w:rPr>
                <w:rFonts w:hint="eastAsia" w:ascii="仿宋_GB2312" w:hAnsi="宋体" w:eastAsia="仿宋_GB2312"/>
                <w:szCs w:val="32"/>
                <w:lang w:val="zh-CN"/>
              </w:rPr>
              <w:t>0.14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9" w:hRule="atLeast"/>
          <w:jc w:val="center"/>
        </w:trPr>
        <w:tc>
          <w:tcPr>
            <w:tcW w:w="3660" w:type="dxa"/>
            <w:vAlign w:val="center"/>
          </w:tcPr>
          <w:p>
            <w:pPr>
              <w:jc w:val="center"/>
              <w:rPr>
                <w:rFonts w:ascii="仿宋_GB2312" w:hAnsi="宋体" w:eastAsia="仿宋_GB2312"/>
                <w:szCs w:val="32"/>
                <w:lang w:val="zh-CN"/>
              </w:rPr>
            </w:pPr>
            <w:r>
              <w:rPr>
                <w:rFonts w:hint="eastAsia" w:ascii="仿宋_GB2312" w:hAnsi="宋体" w:eastAsia="仿宋_GB2312"/>
                <w:szCs w:val="32"/>
                <w:lang w:val="zh-CN"/>
              </w:rPr>
              <w:t>土壤硒素活化剂处理</w:t>
            </w:r>
          </w:p>
        </w:tc>
        <w:tc>
          <w:tcPr>
            <w:tcW w:w="4281" w:type="dxa"/>
            <w:vAlign w:val="center"/>
          </w:tcPr>
          <w:p>
            <w:pPr>
              <w:jc w:val="center"/>
              <w:rPr>
                <w:rFonts w:ascii="仿宋_GB2312" w:hAnsi="宋体" w:eastAsia="仿宋_GB2312"/>
                <w:szCs w:val="32"/>
                <w:lang w:val="zh-CN"/>
              </w:rPr>
            </w:pPr>
            <w:r>
              <w:rPr>
                <w:rFonts w:hint="eastAsia" w:ascii="仿宋_GB2312" w:hAnsi="宋体" w:eastAsia="仿宋_GB2312"/>
                <w:szCs w:val="32"/>
                <w:lang w:val="zh-CN"/>
              </w:rPr>
              <w:t>0.29</w:t>
            </w:r>
          </w:p>
        </w:tc>
      </w:tr>
    </w:tbl>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4.含硒有机肥施用试验：</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1）</w:t>
      </w:r>
      <w:r>
        <w:rPr>
          <w:rFonts w:hint="eastAsia" w:ascii="仿宋_GB2312" w:hAnsi="宋体" w:eastAsia="仿宋_GB2312"/>
          <w:sz w:val="28"/>
          <w:szCs w:val="28"/>
        </w:rPr>
        <w:t>茶园试验地硒含量</w:t>
      </w:r>
    </w:p>
    <w:p>
      <w:pPr>
        <w:spacing w:line="360" w:lineRule="auto"/>
        <w:jc w:val="center"/>
        <w:rPr>
          <w:rFonts w:ascii="仿宋_GB2312" w:hAnsi="宋体" w:eastAsia="仿宋_GB2312"/>
          <w:sz w:val="28"/>
          <w:szCs w:val="28"/>
        </w:rPr>
      </w:pPr>
      <w:r>
        <w:rPr>
          <w:rFonts w:hint="eastAsia" w:ascii="仿宋_GB2312" w:hAnsi="宋体" w:eastAsia="仿宋_GB2312"/>
          <w:sz w:val="28"/>
          <w:szCs w:val="28"/>
        </w:rPr>
        <w:t>表4  茶园试验地硒含量</w:t>
      </w:r>
    </w:p>
    <w:tbl>
      <w:tblPr>
        <w:tblStyle w:val="6"/>
        <w:tblW w:w="8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5"/>
        <w:gridCol w:w="4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3885" w:type="dxa"/>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基地名称</w:t>
            </w:r>
          </w:p>
        </w:tc>
        <w:tc>
          <w:tcPr>
            <w:tcW w:w="4155" w:type="dxa"/>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硒含量</w:t>
            </w:r>
          </w:p>
          <w:p>
            <w:pPr>
              <w:jc w:val="center"/>
              <w:rPr>
                <w:rFonts w:ascii="仿宋_GB2312" w:eastAsia="仿宋_GB2312" w:hAnsiTheme="minorEastAsia"/>
                <w:szCs w:val="21"/>
              </w:rPr>
            </w:pPr>
            <w:r>
              <w:rPr>
                <w:rFonts w:hint="eastAsia" w:ascii="仿宋_GB2312" w:eastAsia="仿宋_GB2312" w:hAnsiTheme="minorEastAsia"/>
                <w:szCs w:val="21"/>
              </w:rPr>
              <w:t>（μg/kg）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885" w:type="dxa"/>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桂平茶园</w:t>
            </w:r>
          </w:p>
        </w:tc>
        <w:tc>
          <w:tcPr>
            <w:tcW w:w="4155" w:type="dxa"/>
            <w:shd w:val="clear" w:color="auto" w:fill="auto"/>
            <w:vAlign w:val="center"/>
          </w:tcPr>
          <w:p>
            <w:pPr>
              <w:jc w:val="center"/>
              <w:rPr>
                <w:rFonts w:ascii="仿宋_GB2312" w:eastAsia="仿宋_GB2312"/>
                <w:szCs w:val="21"/>
              </w:rPr>
            </w:pPr>
            <w:r>
              <w:rPr>
                <w:rFonts w:hint="eastAsia" w:ascii="仿宋_GB2312" w:eastAsia="仿宋_GB2312"/>
                <w:szCs w:val="21"/>
              </w:rPr>
              <w:t>1188.9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885" w:type="dxa"/>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凌云茶园</w:t>
            </w:r>
          </w:p>
        </w:tc>
        <w:tc>
          <w:tcPr>
            <w:tcW w:w="4155" w:type="dxa"/>
            <w:shd w:val="clear" w:color="auto" w:fill="auto"/>
            <w:vAlign w:val="center"/>
          </w:tcPr>
          <w:p>
            <w:pPr>
              <w:jc w:val="center"/>
              <w:rPr>
                <w:rFonts w:ascii="仿宋_GB2312" w:eastAsia="仿宋_GB2312"/>
                <w:szCs w:val="21"/>
              </w:rPr>
            </w:pPr>
            <w:r>
              <w:rPr>
                <w:rFonts w:hint="eastAsia" w:ascii="仿宋_GB2312" w:eastAsia="仿宋_GB2312"/>
                <w:szCs w:val="21"/>
              </w:rPr>
              <w:t>1645.3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885" w:type="dxa"/>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南宁茶园</w:t>
            </w:r>
          </w:p>
        </w:tc>
        <w:tc>
          <w:tcPr>
            <w:tcW w:w="4155" w:type="dxa"/>
            <w:shd w:val="clear" w:color="auto" w:fill="auto"/>
            <w:vAlign w:val="center"/>
          </w:tcPr>
          <w:p>
            <w:pPr>
              <w:jc w:val="center"/>
              <w:rPr>
                <w:rFonts w:ascii="仿宋_GB2312" w:eastAsia="仿宋_GB2312"/>
                <w:szCs w:val="21"/>
              </w:rPr>
            </w:pPr>
            <w:r>
              <w:rPr>
                <w:rFonts w:hint="eastAsia" w:ascii="仿宋_GB2312" w:eastAsia="仿宋_GB2312"/>
                <w:szCs w:val="21"/>
              </w:rPr>
              <w:t>365.4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3885" w:type="dxa"/>
            <w:shd w:val="clear" w:color="auto" w:fill="auto"/>
            <w:vAlign w:val="center"/>
          </w:tcPr>
          <w:p>
            <w:pPr>
              <w:jc w:val="center"/>
              <w:rPr>
                <w:rFonts w:ascii="仿宋_GB2312" w:eastAsia="仿宋_GB2312" w:hAnsiTheme="minorEastAsia"/>
                <w:szCs w:val="21"/>
              </w:rPr>
            </w:pPr>
            <w:r>
              <w:rPr>
                <w:rFonts w:hint="eastAsia" w:ascii="仿宋_GB2312" w:eastAsia="仿宋_GB2312" w:hAnsiTheme="minorEastAsia"/>
                <w:szCs w:val="21"/>
              </w:rPr>
              <w:t>横县茶园</w:t>
            </w:r>
          </w:p>
        </w:tc>
        <w:tc>
          <w:tcPr>
            <w:tcW w:w="4155" w:type="dxa"/>
            <w:shd w:val="clear" w:color="auto" w:fill="auto"/>
            <w:vAlign w:val="center"/>
          </w:tcPr>
          <w:p>
            <w:pPr>
              <w:jc w:val="center"/>
              <w:rPr>
                <w:rFonts w:ascii="仿宋_GB2312" w:eastAsia="仿宋_GB2312"/>
                <w:szCs w:val="21"/>
              </w:rPr>
            </w:pPr>
            <w:r>
              <w:rPr>
                <w:rFonts w:hint="eastAsia" w:ascii="仿宋_GB2312" w:eastAsia="仿宋_GB2312"/>
                <w:szCs w:val="21"/>
              </w:rPr>
              <w:t>280.1</w:t>
            </w:r>
          </w:p>
        </w:tc>
      </w:tr>
    </w:tbl>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2）试验梯度试验设计：</w:t>
      </w:r>
    </w:p>
    <w:p>
      <w:pPr>
        <w:ind w:firstLine="560" w:firstLineChars="200"/>
        <w:rPr>
          <w:rFonts w:ascii="仿宋_GB2312" w:eastAsia="仿宋_GB2312"/>
          <w:sz w:val="28"/>
          <w:szCs w:val="28"/>
        </w:rPr>
      </w:pPr>
      <w:r>
        <w:rPr>
          <w:rFonts w:hint="eastAsia" w:ascii="仿宋_GB2312" w:eastAsia="仿宋_GB2312"/>
          <w:sz w:val="28"/>
          <w:szCs w:val="28"/>
        </w:rPr>
        <w:t>CK</w:t>
      </w:r>
      <w:r>
        <w:rPr>
          <w:rFonts w:hint="eastAsia" w:ascii="仿宋_GB2312" w:hAnsi="宋体" w:eastAsia="仿宋_GB2312"/>
          <w:sz w:val="28"/>
          <w:szCs w:val="28"/>
        </w:rPr>
        <w:t xml:space="preserve"> ：不施硒肥；</w:t>
      </w:r>
      <w:r>
        <w:rPr>
          <w:rFonts w:hint="eastAsia" w:ascii="仿宋_GB2312" w:eastAsia="仿宋_GB2312"/>
          <w:sz w:val="28"/>
          <w:szCs w:val="28"/>
        </w:rPr>
        <w:t>A：施用硒肥10 kg/</w:t>
      </w:r>
      <w:r>
        <w:rPr>
          <w:rFonts w:hint="eastAsia" w:ascii="仿宋_GB2312" w:hAnsi="宋体" w:eastAsia="仿宋_GB2312"/>
          <w:sz w:val="28"/>
          <w:szCs w:val="28"/>
        </w:rPr>
        <w:t>亩；B：</w:t>
      </w:r>
      <w:r>
        <w:rPr>
          <w:rFonts w:hint="eastAsia" w:ascii="仿宋_GB2312" w:eastAsia="仿宋_GB2312"/>
          <w:sz w:val="28"/>
          <w:szCs w:val="28"/>
        </w:rPr>
        <w:t>施用硒肥15 kg/</w:t>
      </w:r>
      <w:r>
        <w:rPr>
          <w:rFonts w:hint="eastAsia" w:ascii="仿宋_GB2312" w:hAnsi="宋体" w:eastAsia="仿宋_GB2312"/>
          <w:sz w:val="28"/>
          <w:szCs w:val="28"/>
        </w:rPr>
        <w:t>亩；C：</w:t>
      </w:r>
      <w:r>
        <w:rPr>
          <w:rFonts w:hint="eastAsia" w:ascii="仿宋_GB2312" w:eastAsia="仿宋_GB2312"/>
          <w:sz w:val="28"/>
          <w:szCs w:val="28"/>
        </w:rPr>
        <w:t>施用硒肥20 kg/</w:t>
      </w:r>
      <w:r>
        <w:rPr>
          <w:rFonts w:hint="eastAsia" w:ascii="仿宋_GB2312" w:hAnsi="宋体" w:eastAsia="仿宋_GB2312"/>
          <w:sz w:val="28"/>
          <w:szCs w:val="28"/>
        </w:rPr>
        <w:t>亩</w:t>
      </w:r>
      <w:r>
        <w:rPr>
          <w:rFonts w:hint="eastAsia" w:ascii="仿宋_GB2312" w:eastAsia="仿宋_GB2312"/>
          <w:sz w:val="28"/>
          <w:szCs w:val="28"/>
        </w:rPr>
        <w:t>。</w:t>
      </w:r>
      <w:r>
        <w:rPr>
          <w:rFonts w:hint="eastAsia" w:ascii="仿宋_GB2312" w:hAnsi="宋体" w:eastAsia="仿宋_GB2312"/>
          <w:sz w:val="28"/>
          <w:szCs w:val="28"/>
        </w:rPr>
        <w:t>每个处理三次重复。</w:t>
      </w:r>
    </w:p>
    <w:p>
      <w:pPr>
        <w:ind w:firstLine="560" w:firstLineChars="200"/>
        <w:rPr>
          <w:rFonts w:ascii="仿宋_GB2312" w:eastAsia="仿宋_GB2312"/>
          <w:sz w:val="28"/>
          <w:szCs w:val="28"/>
        </w:rPr>
      </w:pPr>
      <w:r>
        <w:rPr>
          <w:rFonts w:hint="eastAsia" w:ascii="仿宋_GB2312" w:eastAsia="仿宋_GB2312"/>
          <w:sz w:val="28"/>
          <w:szCs w:val="28"/>
        </w:rPr>
        <w:t>检测结果显示：</w:t>
      </w:r>
      <w:r>
        <w:rPr>
          <w:rFonts w:hint="eastAsia" w:ascii="仿宋_GB2312" w:eastAsia="仿宋_GB2312"/>
          <w:b/>
          <w:sz w:val="28"/>
          <w:szCs w:val="28"/>
        </w:rPr>
        <w:t>桂平</w:t>
      </w:r>
      <w:r>
        <w:rPr>
          <w:rFonts w:hint="eastAsia" w:ascii="仿宋_GB2312" w:eastAsia="仿宋_GB2312"/>
          <w:sz w:val="28"/>
          <w:szCs w:val="28"/>
        </w:rPr>
        <w:t>对照组0.111 mg/kg，施加硒肥后茶叶的总硒含量0.410</w:t>
      </w:r>
      <w:r>
        <w:rPr>
          <w:rFonts w:hint="eastAsia" w:ascii="宋体" w:hAnsi="宋体"/>
          <w:sz w:val="28"/>
          <w:szCs w:val="28"/>
        </w:rPr>
        <w:t>～</w:t>
      </w:r>
      <w:r>
        <w:rPr>
          <w:rFonts w:hint="eastAsia" w:ascii="仿宋_GB2312" w:eastAsia="仿宋_GB2312"/>
          <w:sz w:val="28"/>
          <w:szCs w:val="28"/>
        </w:rPr>
        <w:t>1.615 mg/kg；</w:t>
      </w:r>
      <w:r>
        <w:rPr>
          <w:rFonts w:hint="eastAsia" w:ascii="仿宋_GB2312" w:eastAsia="仿宋_GB2312"/>
          <w:b/>
          <w:sz w:val="28"/>
          <w:szCs w:val="28"/>
        </w:rPr>
        <w:t>凌云</w:t>
      </w:r>
      <w:r>
        <w:rPr>
          <w:rFonts w:hint="eastAsia" w:ascii="仿宋_GB2312" w:eastAsia="仿宋_GB2312"/>
          <w:sz w:val="28"/>
          <w:szCs w:val="28"/>
        </w:rPr>
        <w:t>对照组0.086 mg/kg，施加硒肥后茶叶的总硒含量1.934</w:t>
      </w:r>
      <w:r>
        <w:rPr>
          <w:rFonts w:hint="eastAsia" w:ascii="宋体" w:hAnsi="宋体"/>
          <w:sz w:val="28"/>
          <w:szCs w:val="28"/>
        </w:rPr>
        <w:t>～</w:t>
      </w:r>
      <w:r>
        <w:rPr>
          <w:rFonts w:hint="eastAsia" w:ascii="仿宋_GB2312" w:eastAsia="仿宋_GB2312"/>
          <w:sz w:val="28"/>
          <w:szCs w:val="28"/>
        </w:rPr>
        <w:t>5.090 mg/kg；</w:t>
      </w:r>
      <w:r>
        <w:rPr>
          <w:rFonts w:hint="eastAsia" w:ascii="仿宋_GB2312" w:eastAsia="仿宋_GB2312"/>
          <w:b/>
          <w:sz w:val="28"/>
          <w:szCs w:val="28"/>
        </w:rPr>
        <w:t>南宁</w:t>
      </w:r>
      <w:r>
        <w:rPr>
          <w:rFonts w:hint="eastAsia" w:ascii="仿宋_GB2312" w:eastAsia="仿宋_GB2312"/>
          <w:sz w:val="28"/>
          <w:szCs w:val="28"/>
        </w:rPr>
        <w:t>对照组0.232 mg/kg，施加硒肥后茶叶的总硒含量1.103</w:t>
      </w:r>
      <w:r>
        <w:rPr>
          <w:rFonts w:hint="eastAsia" w:ascii="宋体" w:hAnsi="宋体"/>
          <w:sz w:val="28"/>
          <w:szCs w:val="28"/>
        </w:rPr>
        <w:t>～</w:t>
      </w:r>
      <w:r>
        <w:rPr>
          <w:rFonts w:hint="eastAsia" w:ascii="仿宋_GB2312" w:eastAsia="仿宋_GB2312"/>
          <w:sz w:val="28"/>
          <w:szCs w:val="28"/>
        </w:rPr>
        <w:t>3.562 mg/kg；</w:t>
      </w:r>
      <w:r>
        <w:rPr>
          <w:rFonts w:hint="eastAsia" w:ascii="仿宋_GB2312" w:eastAsia="仿宋_GB2312"/>
          <w:b/>
          <w:sz w:val="28"/>
          <w:szCs w:val="28"/>
        </w:rPr>
        <w:t>横县</w:t>
      </w:r>
      <w:r>
        <w:rPr>
          <w:rFonts w:hint="eastAsia" w:ascii="仿宋_GB2312" w:eastAsia="仿宋_GB2312"/>
          <w:sz w:val="28"/>
          <w:szCs w:val="28"/>
        </w:rPr>
        <w:t>对照组0.057 mg/kg，施加硒肥后茶叶的总硒含量0.510</w:t>
      </w:r>
      <w:r>
        <w:rPr>
          <w:rFonts w:hint="eastAsia" w:ascii="宋体" w:hAnsi="宋体"/>
          <w:sz w:val="28"/>
          <w:szCs w:val="28"/>
        </w:rPr>
        <w:t>～</w:t>
      </w:r>
      <w:r>
        <w:rPr>
          <w:rFonts w:hint="eastAsia" w:ascii="仿宋_GB2312" w:eastAsia="仿宋_GB2312"/>
          <w:sz w:val="28"/>
          <w:szCs w:val="28"/>
        </w:rPr>
        <w:t>2.174 mg/kg。除凌云C处理硒含量高于富硒茶叶含量标准外，其他各处理均符合富硒茶叶硒含量要求（0.25-4.00 mg/kg ）。</w:t>
      </w:r>
    </w:p>
    <w:p>
      <w:pPr>
        <w:jc w:val="center"/>
        <w:rPr>
          <w:rFonts w:ascii="仿宋_GB2312" w:eastAsia="仿宋_GB2312" w:hAnsiTheme="minorEastAsia"/>
          <w:sz w:val="28"/>
          <w:szCs w:val="21"/>
        </w:rPr>
      </w:pPr>
      <w:r>
        <w:rPr>
          <w:rFonts w:hint="eastAsia" w:ascii="仿宋_GB2312" w:eastAsia="仿宋_GB2312" w:hAnsiTheme="minorEastAsia"/>
          <w:sz w:val="28"/>
          <w:szCs w:val="21"/>
        </w:rPr>
        <w:t>表5  茶叶总硒含量</w:t>
      </w:r>
    </w:p>
    <w:tbl>
      <w:tblPr>
        <w:tblStyle w:val="6"/>
        <w:tblW w:w="8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8"/>
        <w:gridCol w:w="2240"/>
        <w:gridCol w:w="3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shd w:val="clear" w:color="auto" w:fill="auto"/>
            <w:noWrap/>
            <w:vAlign w:val="center"/>
          </w:tcPr>
          <w:p>
            <w:pPr>
              <w:jc w:val="center"/>
              <w:rPr>
                <w:rFonts w:ascii="仿宋_GB2312" w:eastAsia="仿宋_GB2312"/>
                <w:b/>
                <w:szCs w:val="21"/>
              </w:rPr>
            </w:pPr>
            <w:r>
              <w:rPr>
                <w:rFonts w:hint="eastAsia" w:ascii="仿宋_GB2312" w:eastAsia="仿宋_GB2312"/>
                <w:b/>
                <w:szCs w:val="21"/>
              </w:rPr>
              <w:t>采茶时间</w:t>
            </w:r>
          </w:p>
        </w:tc>
        <w:tc>
          <w:tcPr>
            <w:tcW w:w="2240" w:type="dxa"/>
            <w:vAlign w:val="center"/>
          </w:tcPr>
          <w:p>
            <w:pPr>
              <w:jc w:val="center"/>
              <w:rPr>
                <w:rFonts w:ascii="仿宋_GB2312" w:eastAsia="仿宋_GB2312"/>
                <w:b/>
                <w:szCs w:val="21"/>
              </w:rPr>
            </w:pPr>
            <w:r>
              <w:rPr>
                <w:rFonts w:hint="eastAsia" w:ascii="仿宋_GB2312" w:eastAsia="仿宋_GB2312"/>
                <w:b/>
                <w:szCs w:val="21"/>
              </w:rPr>
              <w:t>处理</w:t>
            </w:r>
          </w:p>
        </w:tc>
        <w:tc>
          <w:tcPr>
            <w:tcW w:w="3749" w:type="dxa"/>
            <w:shd w:val="clear" w:color="auto" w:fill="auto"/>
            <w:noWrap/>
            <w:vAlign w:val="center"/>
          </w:tcPr>
          <w:p>
            <w:pPr>
              <w:jc w:val="center"/>
              <w:rPr>
                <w:rFonts w:ascii="仿宋_GB2312" w:eastAsia="仿宋_GB2312"/>
                <w:b/>
                <w:szCs w:val="21"/>
              </w:rPr>
            </w:pPr>
            <w:r>
              <w:rPr>
                <w:rFonts w:hint="eastAsia" w:ascii="仿宋_GB2312" w:eastAsia="仿宋_GB2312" w:hAnsiTheme="minorEastAsia"/>
                <w:b/>
                <w:szCs w:val="21"/>
              </w:rPr>
              <w:t>样品总硒平均值（</w:t>
            </w:r>
            <w:r>
              <w:rPr>
                <w:rFonts w:hint="eastAsia" w:ascii="仿宋_GB2312" w:eastAsia="仿宋_GB2312"/>
                <w:b/>
                <w:szCs w:val="21"/>
              </w:rPr>
              <w:t>mg/kg</w:t>
            </w:r>
            <w:r>
              <w:rPr>
                <w:rFonts w:hint="eastAsia" w:ascii="仿宋_GB2312" w:eastAsia="仿宋_GB2312" w:hAnsiTheme="minor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restart"/>
            <w:shd w:val="clear" w:color="auto" w:fill="auto"/>
            <w:noWrap/>
            <w:vAlign w:val="center"/>
          </w:tcPr>
          <w:p>
            <w:pPr>
              <w:jc w:val="center"/>
              <w:rPr>
                <w:rFonts w:ascii="仿宋_GB2312" w:eastAsia="仿宋_GB2312"/>
                <w:b/>
                <w:szCs w:val="21"/>
              </w:rPr>
            </w:pPr>
            <w:r>
              <w:rPr>
                <w:rFonts w:hint="eastAsia" w:ascii="仿宋_GB2312" w:eastAsia="仿宋_GB2312"/>
                <w:b/>
                <w:szCs w:val="21"/>
              </w:rPr>
              <w:t>2018.6.21</w:t>
            </w:r>
          </w:p>
        </w:tc>
        <w:tc>
          <w:tcPr>
            <w:tcW w:w="2240" w:type="dxa"/>
            <w:vAlign w:val="center"/>
          </w:tcPr>
          <w:p>
            <w:pPr>
              <w:jc w:val="center"/>
              <w:rPr>
                <w:rFonts w:ascii="仿宋_GB2312" w:eastAsia="仿宋_GB2312"/>
                <w:szCs w:val="21"/>
              </w:rPr>
            </w:pPr>
            <w:r>
              <w:rPr>
                <w:rFonts w:hint="eastAsia" w:ascii="仿宋_GB2312" w:eastAsia="仿宋_GB2312" w:hAnsiTheme="minorEastAsia"/>
                <w:szCs w:val="21"/>
              </w:rPr>
              <w:t>桂平</w:t>
            </w:r>
            <w:r>
              <w:rPr>
                <w:rFonts w:hint="eastAsia" w:ascii="仿宋_GB2312" w:eastAsia="仿宋_GB2312"/>
                <w:szCs w:val="21"/>
              </w:rPr>
              <w:t>CK</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b/>
                <w:szCs w:val="21"/>
              </w:rPr>
            </w:pPr>
          </w:p>
        </w:tc>
        <w:tc>
          <w:tcPr>
            <w:tcW w:w="2240" w:type="dxa"/>
            <w:vAlign w:val="center"/>
          </w:tcPr>
          <w:p>
            <w:pPr>
              <w:jc w:val="center"/>
              <w:rPr>
                <w:rFonts w:ascii="仿宋_GB2312" w:eastAsia="仿宋_GB2312"/>
                <w:szCs w:val="21"/>
              </w:rPr>
            </w:pPr>
            <w:r>
              <w:rPr>
                <w:rFonts w:hint="eastAsia" w:ascii="仿宋_GB2312" w:eastAsia="仿宋_GB2312" w:hAnsiTheme="minorEastAsia"/>
                <w:szCs w:val="21"/>
              </w:rPr>
              <w:t>桂平</w:t>
            </w:r>
            <w:r>
              <w:rPr>
                <w:rFonts w:hint="eastAsia" w:ascii="仿宋_GB2312" w:eastAsia="仿宋_GB2312"/>
                <w:szCs w:val="21"/>
              </w:rPr>
              <w:t>A</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0.410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b/>
                <w:szCs w:val="21"/>
              </w:rPr>
            </w:pPr>
          </w:p>
        </w:tc>
        <w:tc>
          <w:tcPr>
            <w:tcW w:w="2240" w:type="dxa"/>
            <w:vAlign w:val="center"/>
          </w:tcPr>
          <w:p>
            <w:pPr>
              <w:jc w:val="center"/>
              <w:rPr>
                <w:rFonts w:ascii="仿宋_GB2312" w:eastAsia="仿宋_GB2312"/>
                <w:szCs w:val="21"/>
              </w:rPr>
            </w:pPr>
            <w:r>
              <w:rPr>
                <w:rFonts w:hint="eastAsia" w:ascii="仿宋_GB2312" w:eastAsia="仿宋_GB2312" w:hAnsiTheme="minorEastAsia"/>
                <w:szCs w:val="21"/>
              </w:rPr>
              <w:t>桂平</w:t>
            </w:r>
            <w:r>
              <w:rPr>
                <w:rFonts w:hint="eastAsia" w:ascii="仿宋_GB2312" w:eastAsia="仿宋_GB2312"/>
                <w:szCs w:val="21"/>
              </w:rPr>
              <w:t>B</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0.605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b/>
                <w:szCs w:val="21"/>
              </w:rPr>
            </w:pPr>
          </w:p>
        </w:tc>
        <w:tc>
          <w:tcPr>
            <w:tcW w:w="2240" w:type="dxa"/>
            <w:vAlign w:val="center"/>
          </w:tcPr>
          <w:p>
            <w:pPr>
              <w:jc w:val="center"/>
              <w:rPr>
                <w:rFonts w:ascii="仿宋_GB2312" w:eastAsia="仿宋_GB2312"/>
                <w:szCs w:val="21"/>
              </w:rPr>
            </w:pPr>
            <w:r>
              <w:rPr>
                <w:rFonts w:hint="eastAsia" w:ascii="仿宋_GB2312" w:eastAsia="仿宋_GB2312" w:hAnsiTheme="minorEastAsia"/>
                <w:szCs w:val="21"/>
              </w:rPr>
              <w:t>桂平</w:t>
            </w:r>
            <w:r>
              <w:rPr>
                <w:rFonts w:hint="eastAsia" w:ascii="仿宋_GB2312" w:eastAsia="仿宋_GB2312"/>
                <w:szCs w:val="21"/>
              </w:rPr>
              <w:t>C</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1.615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restart"/>
            <w:shd w:val="clear" w:color="auto" w:fill="auto"/>
            <w:noWrap/>
            <w:vAlign w:val="center"/>
          </w:tcPr>
          <w:p>
            <w:pPr>
              <w:jc w:val="center"/>
              <w:rPr>
                <w:rFonts w:ascii="仿宋_GB2312" w:eastAsia="仿宋_GB2312"/>
                <w:b/>
                <w:szCs w:val="21"/>
              </w:rPr>
            </w:pPr>
            <w:r>
              <w:rPr>
                <w:rFonts w:hint="eastAsia" w:ascii="仿宋_GB2312" w:eastAsia="仿宋_GB2312"/>
                <w:b/>
                <w:szCs w:val="21"/>
              </w:rPr>
              <w:t>2018.6.1</w:t>
            </w:r>
          </w:p>
        </w:tc>
        <w:tc>
          <w:tcPr>
            <w:tcW w:w="2240" w:type="dxa"/>
            <w:vAlign w:val="center"/>
          </w:tcPr>
          <w:p>
            <w:pPr>
              <w:jc w:val="center"/>
              <w:rPr>
                <w:rFonts w:ascii="仿宋_GB2312" w:eastAsia="仿宋_GB2312"/>
                <w:szCs w:val="21"/>
              </w:rPr>
            </w:pPr>
            <w:r>
              <w:rPr>
                <w:rFonts w:hint="eastAsia" w:ascii="仿宋_GB2312" w:eastAsia="仿宋_GB2312" w:hAnsiTheme="minorEastAsia"/>
                <w:szCs w:val="21"/>
              </w:rPr>
              <w:t>凌云</w:t>
            </w:r>
            <w:r>
              <w:rPr>
                <w:rFonts w:hint="eastAsia" w:ascii="仿宋_GB2312" w:eastAsia="仿宋_GB2312"/>
                <w:szCs w:val="21"/>
              </w:rPr>
              <w:t>CK</w:t>
            </w:r>
          </w:p>
        </w:tc>
        <w:tc>
          <w:tcPr>
            <w:tcW w:w="3749" w:type="dxa"/>
            <w:shd w:val="clear" w:color="auto" w:fill="auto"/>
            <w:noWrap/>
            <w:vAlign w:val="center"/>
          </w:tcPr>
          <w:p>
            <w:pPr>
              <w:jc w:val="center"/>
              <w:rPr>
                <w:rFonts w:ascii="仿宋_GB2312" w:eastAsia="仿宋_GB2312"/>
                <w:b/>
                <w:szCs w:val="21"/>
              </w:rPr>
            </w:pPr>
            <w:r>
              <w:rPr>
                <w:rFonts w:hint="eastAsia" w:ascii="仿宋_GB2312" w:eastAsia="仿宋_GB2312"/>
                <w:b/>
                <w:szCs w:val="21"/>
              </w:rPr>
              <w:t>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b/>
                <w:szCs w:val="21"/>
              </w:rPr>
            </w:pPr>
          </w:p>
        </w:tc>
        <w:tc>
          <w:tcPr>
            <w:tcW w:w="2240" w:type="dxa"/>
            <w:vAlign w:val="center"/>
          </w:tcPr>
          <w:p>
            <w:pPr>
              <w:jc w:val="center"/>
              <w:rPr>
                <w:rFonts w:ascii="仿宋_GB2312" w:eastAsia="仿宋_GB2312"/>
                <w:szCs w:val="21"/>
              </w:rPr>
            </w:pPr>
            <w:r>
              <w:rPr>
                <w:rFonts w:hint="eastAsia" w:ascii="仿宋_GB2312" w:eastAsia="仿宋_GB2312" w:hAnsiTheme="minorEastAsia"/>
                <w:szCs w:val="21"/>
              </w:rPr>
              <w:t>凌云</w:t>
            </w:r>
            <w:r>
              <w:rPr>
                <w:rFonts w:hint="eastAsia" w:ascii="仿宋_GB2312" w:eastAsia="仿宋_GB2312"/>
                <w:szCs w:val="21"/>
              </w:rPr>
              <w:t>A</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1.934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b/>
                <w:szCs w:val="21"/>
              </w:rPr>
            </w:pPr>
          </w:p>
        </w:tc>
        <w:tc>
          <w:tcPr>
            <w:tcW w:w="2240" w:type="dxa"/>
            <w:vAlign w:val="center"/>
          </w:tcPr>
          <w:p>
            <w:pPr>
              <w:jc w:val="center"/>
              <w:rPr>
                <w:rFonts w:ascii="仿宋_GB2312" w:eastAsia="仿宋_GB2312"/>
                <w:szCs w:val="21"/>
              </w:rPr>
            </w:pPr>
            <w:r>
              <w:rPr>
                <w:rFonts w:hint="eastAsia" w:ascii="仿宋_GB2312" w:eastAsia="仿宋_GB2312" w:hAnsiTheme="minorEastAsia"/>
                <w:szCs w:val="21"/>
              </w:rPr>
              <w:t>凌云</w:t>
            </w:r>
            <w:r>
              <w:rPr>
                <w:rFonts w:hint="eastAsia" w:ascii="仿宋_GB2312" w:eastAsia="仿宋_GB2312"/>
                <w:szCs w:val="21"/>
              </w:rPr>
              <w:t>B</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3.249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b/>
                <w:szCs w:val="21"/>
              </w:rPr>
            </w:pPr>
          </w:p>
        </w:tc>
        <w:tc>
          <w:tcPr>
            <w:tcW w:w="2240" w:type="dxa"/>
            <w:vAlign w:val="center"/>
          </w:tcPr>
          <w:p>
            <w:pPr>
              <w:jc w:val="center"/>
              <w:rPr>
                <w:rFonts w:ascii="仿宋_GB2312" w:eastAsia="仿宋_GB2312"/>
                <w:szCs w:val="21"/>
              </w:rPr>
            </w:pPr>
            <w:r>
              <w:rPr>
                <w:rFonts w:hint="eastAsia" w:ascii="仿宋_GB2312" w:eastAsia="仿宋_GB2312" w:hAnsiTheme="minorEastAsia"/>
                <w:szCs w:val="21"/>
              </w:rPr>
              <w:t>凌云</w:t>
            </w:r>
            <w:r>
              <w:rPr>
                <w:rFonts w:hint="eastAsia" w:ascii="仿宋_GB2312" w:eastAsia="仿宋_GB2312"/>
                <w:szCs w:val="21"/>
              </w:rPr>
              <w:t>C</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5.090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restart"/>
            <w:shd w:val="clear" w:color="auto" w:fill="auto"/>
            <w:noWrap/>
            <w:vAlign w:val="center"/>
          </w:tcPr>
          <w:p>
            <w:pPr>
              <w:jc w:val="center"/>
              <w:rPr>
                <w:rFonts w:ascii="仿宋_GB2312" w:eastAsia="仿宋_GB2312"/>
                <w:b/>
                <w:szCs w:val="21"/>
              </w:rPr>
            </w:pPr>
            <w:r>
              <w:rPr>
                <w:rFonts w:hint="eastAsia" w:ascii="仿宋_GB2312" w:eastAsia="仿宋_GB2312"/>
                <w:b/>
                <w:szCs w:val="21"/>
              </w:rPr>
              <w:t>2019.5.28</w:t>
            </w:r>
          </w:p>
        </w:tc>
        <w:tc>
          <w:tcPr>
            <w:tcW w:w="2240" w:type="dxa"/>
            <w:vAlign w:val="center"/>
          </w:tcPr>
          <w:p>
            <w:pPr>
              <w:jc w:val="center"/>
              <w:rPr>
                <w:rFonts w:ascii="仿宋_GB2312" w:eastAsia="仿宋_GB2312"/>
                <w:szCs w:val="21"/>
              </w:rPr>
            </w:pPr>
            <w:r>
              <w:rPr>
                <w:rFonts w:hint="eastAsia" w:ascii="仿宋_GB2312" w:eastAsia="仿宋_GB2312"/>
                <w:szCs w:val="21"/>
              </w:rPr>
              <w:t>南宁CK</w:t>
            </w:r>
          </w:p>
        </w:tc>
        <w:tc>
          <w:tcPr>
            <w:tcW w:w="3749" w:type="dxa"/>
            <w:shd w:val="clear" w:color="auto" w:fill="auto"/>
            <w:noWrap/>
            <w:vAlign w:val="center"/>
          </w:tcPr>
          <w:p>
            <w:pPr>
              <w:jc w:val="center"/>
              <w:rPr>
                <w:rFonts w:ascii="仿宋_GB2312" w:eastAsia="仿宋_GB2312"/>
                <w:b/>
                <w:szCs w:val="21"/>
              </w:rPr>
            </w:pPr>
            <w:r>
              <w:rPr>
                <w:rFonts w:hint="eastAsia" w:ascii="仿宋_GB2312" w:eastAsia="仿宋_GB2312"/>
                <w:b/>
                <w:szCs w:val="21"/>
              </w:rPr>
              <w:t>0.232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b/>
                <w:szCs w:val="21"/>
              </w:rPr>
            </w:pPr>
          </w:p>
        </w:tc>
        <w:tc>
          <w:tcPr>
            <w:tcW w:w="2240" w:type="dxa"/>
            <w:vAlign w:val="center"/>
          </w:tcPr>
          <w:p>
            <w:pPr>
              <w:jc w:val="center"/>
              <w:rPr>
                <w:rFonts w:ascii="仿宋_GB2312" w:eastAsia="仿宋_GB2312"/>
                <w:szCs w:val="21"/>
              </w:rPr>
            </w:pPr>
            <w:r>
              <w:rPr>
                <w:rFonts w:hint="eastAsia" w:ascii="仿宋_GB2312" w:eastAsia="仿宋_GB2312"/>
                <w:szCs w:val="21"/>
              </w:rPr>
              <w:t>南宁A</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1.103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b/>
                <w:szCs w:val="21"/>
              </w:rPr>
            </w:pPr>
          </w:p>
        </w:tc>
        <w:tc>
          <w:tcPr>
            <w:tcW w:w="2240" w:type="dxa"/>
            <w:vAlign w:val="center"/>
          </w:tcPr>
          <w:p>
            <w:pPr>
              <w:jc w:val="center"/>
              <w:rPr>
                <w:rFonts w:ascii="仿宋_GB2312" w:eastAsia="仿宋_GB2312"/>
                <w:szCs w:val="21"/>
              </w:rPr>
            </w:pPr>
            <w:r>
              <w:rPr>
                <w:rFonts w:hint="eastAsia" w:ascii="仿宋_GB2312" w:eastAsia="仿宋_GB2312"/>
                <w:szCs w:val="21"/>
              </w:rPr>
              <w:t>南宁B</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b/>
                <w:szCs w:val="21"/>
              </w:rPr>
            </w:pPr>
          </w:p>
        </w:tc>
        <w:tc>
          <w:tcPr>
            <w:tcW w:w="2240" w:type="dxa"/>
            <w:vAlign w:val="center"/>
          </w:tcPr>
          <w:p>
            <w:pPr>
              <w:jc w:val="center"/>
              <w:rPr>
                <w:rFonts w:ascii="仿宋_GB2312" w:eastAsia="仿宋_GB2312"/>
                <w:szCs w:val="21"/>
              </w:rPr>
            </w:pPr>
            <w:r>
              <w:rPr>
                <w:rFonts w:hint="eastAsia" w:ascii="仿宋_GB2312" w:eastAsia="仿宋_GB2312"/>
                <w:szCs w:val="21"/>
              </w:rPr>
              <w:t>南宁C</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3.562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restart"/>
            <w:shd w:val="clear" w:color="auto" w:fill="auto"/>
            <w:noWrap/>
            <w:vAlign w:val="center"/>
          </w:tcPr>
          <w:p>
            <w:pPr>
              <w:jc w:val="center"/>
              <w:rPr>
                <w:rFonts w:ascii="仿宋_GB2312" w:eastAsia="仿宋_GB2312"/>
                <w:b/>
                <w:szCs w:val="21"/>
              </w:rPr>
            </w:pPr>
            <w:r>
              <w:rPr>
                <w:rFonts w:hint="eastAsia" w:ascii="仿宋_GB2312" w:eastAsia="仿宋_GB2312"/>
                <w:b/>
                <w:szCs w:val="21"/>
              </w:rPr>
              <w:t>2019.7.16</w:t>
            </w:r>
          </w:p>
        </w:tc>
        <w:tc>
          <w:tcPr>
            <w:tcW w:w="2240" w:type="dxa"/>
            <w:vAlign w:val="center"/>
          </w:tcPr>
          <w:p>
            <w:pPr>
              <w:jc w:val="center"/>
              <w:rPr>
                <w:rFonts w:ascii="仿宋_GB2312" w:eastAsia="仿宋_GB2312"/>
                <w:szCs w:val="21"/>
              </w:rPr>
            </w:pPr>
            <w:r>
              <w:rPr>
                <w:rFonts w:hint="eastAsia" w:ascii="仿宋_GB2312" w:eastAsia="仿宋_GB2312"/>
                <w:szCs w:val="21"/>
              </w:rPr>
              <w:t>横县CK</w:t>
            </w:r>
          </w:p>
        </w:tc>
        <w:tc>
          <w:tcPr>
            <w:tcW w:w="3749" w:type="dxa"/>
            <w:shd w:val="clear" w:color="auto" w:fill="auto"/>
            <w:noWrap/>
            <w:vAlign w:val="center"/>
          </w:tcPr>
          <w:p>
            <w:pPr>
              <w:jc w:val="center"/>
              <w:rPr>
                <w:rFonts w:ascii="仿宋_GB2312" w:eastAsia="仿宋_GB2312"/>
                <w:b/>
                <w:szCs w:val="21"/>
              </w:rPr>
            </w:pPr>
            <w:r>
              <w:rPr>
                <w:rFonts w:hint="eastAsia" w:ascii="仿宋_GB2312" w:eastAsia="仿宋_GB2312"/>
                <w:b/>
                <w:szCs w:val="21"/>
              </w:rPr>
              <w:t>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szCs w:val="21"/>
              </w:rPr>
            </w:pPr>
          </w:p>
        </w:tc>
        <w:tc>
          <w:tcPr>
            <w:tcW w:w="2240" w:type="dxa"/>
            <w:vAlign w:val="center"/>
          </w:tcPr>
          <w:p>
            <w:pPr>
              <w:jc w:val="center"/>
              <w:rPr>
                <w:rFonts w:ascii="仿宋_GB2312" w:eastAsia="仿宋_GB2312"/>
                <w:szCs w:val="21"/>
              </w:rPr>
            </w:pPr>
            <w:r>
              <w:rPr>
                <w:rFonts w:hint="eastAsia" w:ascii="仿宋_GB2312" w:eastAsia="仿宋_GB2312"/>
                <w:szCs w:val="21"/>
              </w:rPr>
              <w:t>横县A</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0.510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szCs w:val="21"/>
              </w:rPr>
            </w:pPr>
          </w:p>
        </w:tc>
        <w:tc>
          <w:tcPr>
            <w:tcW w:w="2240" w:type="dxa"/>
            <w:vAlign w:val="center"/>
          </w:tcPr>
          <w:p>
            <w:pPr>
              <w:jc w:val="center"/>
              <w:rPr>
                <w:rFonts w:ascii="仿宋_GB2312" w:eastAsia="仿宋_GB2312"/>
                <w:szCs w:val="21"/>
              </w:rPr>
            </w:pPr>
            <w:r>
              <w:rPr>
                <w:rFonts w:hint="eastAsia" w:ascii="仿宋_GB2312" w:eastAsia="仿宋_GB2312"/>
                <w:szCs w:val="21"/>
              </w:rPr>
              <w:t>横县B</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0.903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78" w:type="dxa"/>
            <w:vMerge w:val="continue"/>
            <w:shd w:val="clear" w:color="auto" w:fill="auto"/>
            <w:noWrap/>
            <w:vAlign w:val="center"/>
          </w:tcPr>
          <w:p>
            <w:pPr>
              <w:jc w:val="center"/>
              <w:rPr>
                <w:rFonts w:ascii="仿宋_GB2312" w:eastAsia="仿宋_GB2312"/>
                <w:szCs w:val="21"/>
              </w:rPr>
            </w:pPr>
          </w:p>
        </w:tc>
        <w:tc>
          <w:tcPr>
            <w:tcW w:w="2240" w:type="dxa"/>
            <w:vAlign w:val="center"/>
          </w:tcPr>
          <w:p>
            <w:pPr>
              <w:jc w:val="center"/>
              <w:rPr>
                <w:rFonts w:ascii="仿宋_GB2312" w:eastAsia="仿宋_GB2312"/>
                <w:szCs w:val="21"/>
              </w:rPr>
            </w:pPr>
            <w:r>
              <w:rPr>
                <w:rFonts w:hint="eastAsia" w:ascii="仿宋_GB2312" w:eastAsia="仿宋_GB2312"/>
                <w:szCs w:val="21"/>
              </w:rPr>
              <w:t>横县C</w:t>
            </w:r>
          </w:p>
        </w:tc>
        <w:tc>
          <w:tcPr>
            <w:tcW w:w="3749" w:type="dxa"/>
            <w:shd w:val="clear" w:color="auto" w:fill="auto"/>
            <w:noWrap/>
            <w:vAlign w:val="center"/>
          </w:tcPr>
          <w:p>
            <w:pPr>
              <w:jc w:val="center"/>
              <w:rPr>
                <w:rFonts w:ascii="仿宋_GB2312" w:eastAsia="仿宋_GB2312"/>
                <w:szCs w:val="21"/>
              </w:rPr>
            </w:pPr>
            <w:r>
              <w:rPr>
                <w:rFonts w:hint="eastAsia" w:ascii="仿宋_GB2312" w:eastAsia="仿宋_GB2312"/>
                <w:szCs w:val="21"/>
              </w:rPr>
              <w:t>2.174</w:t>
            </w:r>
          </w:p>
        </w:tc>
      </w:tr>
    </w:tbl>
    <w:p>
      <w:pPr>
        <w:rPr>
          <w:rFonts w:hint="eastAsia" w:ascii="宋体" w:hAnsi="宋体"/>
          <w:sz w:val="28"/>
          <w:szCs w:val="28"/>
        </w:rPr>
      </w:pPr>
    </w:p>
    <w:p>
      <w:pPr>
        <w:rPr>
          <w:rFonts w:ascii="宋体" w:hAnsi="宋体"/>
          <w:sz w:val="28"/>
          <w:szCs w:val="28"/>
        </w:rPr>
      </w:pPr>
    </w:p>
    <w:p>
      <w:pPr>
        <w:spacing w:line="360" w:lineRule="auto"/>
        <w:rPr>
          <w:rFonts w:ascii="仿宋_GB2312" w:hAnsi="宋体" w:eastAsia="仿宋_GB2312"/>
          <w:sz w:val="28"/>
          <w:szCs w:val="28"/>
        </w:rPr>
      </w:pPr>
      <w:r>
        <w:rPr>
          <w:rFonts w:hint="eastAsia" w:ascii="仿宋_GB2312" w:hAnsi="宋体" w:eastAsia="仿宋_GB2312"/>
          <w:sz w:val="28"/>
          <w:szCs w:val="28"/>
        </w:rPr>
        <w:t>下附示范区应用含硒有机肥的夏茶样品硒含量检测结果：</w:t>
      </w:r>
    </w:p>
    <w:p>
      <w:pPr>
        <w:ind w:firstLine="560" w:firstLineChars="200"/>
        <w:jc w:val="center"/>
        <w:rPr>
          <w:rFonts w:ascii="仿宋_GB2312" w:hAnsi="宋体" w:eastAsia="仿宋_GB2312"/>
          <w:sz w:val="28"/>
          <w:szCs w:val="32"/>
          <w:lang w:val="zh-CN"/>
        </w:rPr>
      </w:pPr>
      <w:r>
        <w:rPr>
          <w:rFonts w:hint="eastAsia" w:ascii="仿宋_GB2312" w:hAnsi="宋体" w:eastAsia="仿宋_GB2312"/>
          <w:sz w:val="28"/>
          <w:szCs w:val="32"/>
          <w:lang w:val="zh-CN"/>
        </w:rPr>
        <w:t>表6 硒肥应用示范区夏茶总硒含量</w:t>
      </w:r>
    </w:p>
    <w:tbl>
      <w:tblPr>
        <w:tblStyle w:val="7"/>
        <w:tblW w:w="837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40"/>
        <w:gridCol w:w="1475"/>
        <w:gridCol w:w="2482"/>
        <w:gridCol w:w="257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0" w:hRule="atLeast"/>
          <w:jc w:val="center"/>
        </w:trPr>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采茶时间</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示范区</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处理</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夏茶总硒含量</w:t>
            </w:r>
          </w:p>
          <w:p>
            <w:pPr>
              <w:jc w:val="center"/>
              <w:rPr>
                <w:rFonts w:ascii="仿宋_GB2312" w:hAnsi="宋体" w:eastAsia="仿宋_GB2312"/>
                <w:szCs w:val="32"/>
                <w:lang w:val="zh-CN"/>
              </w:rPr>
            </w:pPr>
            <w:r>
              <w:rPr>
                <w:rFonts w:hint="eastAsia" w:ascii="仿宋_GB2312" w:hAnsi="宋体" w:eastAsia="仿宋_GB2312"/>
                <w:szCs w:val="32"/>
                <w:lang w:val="zh-CN"/>
              </w:rPr>
              <w:t>（mg/kg）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jc w:val="center"/>
        </w:trPr>
        <w:tc>
          <w:tcPr>
            <w:tcW w:w="0" w:type="auto"/>
            <w:vMerge w:val="restart"/>
            <w:vAlign w:val="center"/>
          </w:tcPr>
          <w:p>
            <w:pPr>
              <w:jc w:val="center"/>
              <w:rPr>
                <w:rFonts w:ascii="仿宋_GB2312" w:hAnsi="宋体" w:eastAsia="仿宋_GB2312"/>
                <w:szCs w:val="32"/>
                <w:lang w:val="zh-CN"/>
              </w:rPr>
            </w:pPr>
            <w:r>
              <w:rPr>
                <w:rFonts w:hint="eastAsia" w:ascii="仿宋_GB2312" w:hAnsi="宋体" w:eastAsia="仿宋_GB2312"/>
                <w:szCs w:val="32"/>
                <w:lang w:val="zh-CN"/>
              </w:rPr>
              <w:t>2018.6</w:t>
            </w:r>
          </w:p>
        </w:tc>
        <w:tc>
          <w:tcPr>
            <w:tcW w:w="0" w:type="auto"/>
            <w:vMerge w:val="restart"/>
            <w:vAlign w:val="center"/>
          </w:tcPr>
          <w:p>
            <w:pPr>
              <w:jc w:val="center"/>
              <w:rPr>
                <w:rFonts w:ascii="仿宋_GB2312" w:hAnsi="宋体" w:eastAsia="仿宋_GB2312"/>
                <w:szCs w:val="32"/>
                <w:lang w:val="zh-CN"/>
              </w:rPr>
            </w:pPr>
            <w:r>
              <w:rPr>
                <w:rFonts w:hint="eastAsia" w:ascii="仿宋_GB2312" w:hAnsi="宋体" w:eastAsia="仿宋_GB2312"/>
                <w:szCs w:val="32"/>
                <w:lang w:val="zh-CN"/>
              </w:rPr>
              <w:t>横县</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CK</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0.075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 w:hRule="atLeast"/>
          <w:jc w:val="center"/>
        </w:trPr>
        <w:tc>
          <w:tcPr>
            <w:tcW w:w="0" w:type="auto"/>
            <w:vMerge w:val="continue"/>
            <w:vAlign w:val="center"/>
          </w:tcPr>
          <w:p>
            <w:pPr>
              <w:jc w:val="center"/>
              <w:rPr>
                <w:rFonts w:ascii="仿宋_GB2312" w:hAnsi="宋体" w:eastAsia="仿宋_GB2312"/>
                <w:szCs w:val="32"/>
                <w:lang w:val="zh-CN"/>
              </w:rPr>
            </w:pPr>
          </w:p>
        </w:tc>
        <w:tc>
          <w:tcPr>
            <w:tcW w:w="0" w:type="auto"/>
            <w:vMerge w:val="continue"/>
            <w:vAlign w:val="center"/>
          </w:tcPr>
          <w:p>
            <w:pPr>
              <w:jc w:val="center"/>
              <w:rPr>
                <w:rFonts w:ascii="仿宋_GB2312" w:hAnsi="宋体" w:eastAsia="仿宋_GB2312"/>
                <w:szCs w:val="32"/>
                <w:lang w:val="zh-CN"/>
              </w:rPr>
            </w:pP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硒肥15kg/亩</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1.328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jc w:val="center"/>
        </w:trPr>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2020.8</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横县</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硒肥10kg/亩</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0.500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jc w:val="center"/>
        </w:trPr>
        <w:tc>
          <w:tcPr>
            <w:tcW w:w="0" w:type="auto"/>
            <w:vMerge w:val="restart"/>
            <w:vAlign w:val="center"/>
          </w:tcPr>
          <w:p>
            <w:pPr>
              <w:jc w:val="center"/>
              <w:rPr>
                <w:rFonts w:ascii="仿宋_GB2312" w:hAnsi="宋体" w:eastAsia="仿宋_GB2312"/>
                <w:szCs w:val="32"/>
                <w:lang w:val="zh-CN"/>
              </w:rPr>
            </w:pPr>
            <w:r>
              <w:rPr>
                <w:rFonts w:hint="eastAsia" w:ascii="仿宋_GB2312" w:hAnsi="宋体" w:eastAsia="仿宋_GB2312"/>
                <w:szCs w:val="32"/>
                <w:lang w:val="zh-CN"/>
              </w:rPr>
              <w:t>2019.5</w:t>
            </w:r>
          </w:p>
        </w:tc>
        <w:tc>
          <w:tcPr>
            <w:tcW w:w="0" w:type="auto"/>
            <w:vMerge w:val="restart"/>
            <w:vAlign w:val="center"/>
          </w:tcPr>
          <w:p>
            <w:pPr>
              <w:jc w:val="center"/>
              <w:rPr>
                <w:rFonts w:ascii="仿宋_GB2312" w:hAnsi="宋体" w:eastAsia="仿宋_GB2312"/>
                <w:szCs w:val="32"/>
                <w:lang w:val="zh-CN"/>
              </w:rPr>
            </w:pPr>
            <w:r>
              <w:rPr>
                <w:rFonts w:hint="eastAsia" w:ascii="仿宋_GB2312" w:hAnsi="宋体" w:eastAsia="仿宋_GB2312"/>
                <w:szCs w:val="32"/>
                <w:lang w:val="zh-CN"/>
              </w:rPr>
              <w:t>桂平</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CK</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0.065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 w:hRule="atLeast"/>
          <w:jc w:val="center"/>
        </w:trPr>
        <w:tc>
          <w:tcPr>
            <w:tcW w:w="0" w:type="auto"/>
            <w:vMerge w:val="continue"/>
            <w:vAlign w:val="center"/>
          </w:tcPr>
          <w:p>
            <w:pPr>
              <w:jc w:val="center"/>
              <w:rPr>
                <w:rFonts w:ascii="仿宋_GB2312" w:hAnsi="宋体" w:eastAsia="仿宋_GB2312"/>
                <w:szCs w:val="32"/>
                <w:lang w:val="zh-CN"/>
              </w:rPr>
            </w:pPr>
          </w:p>
        </w:tc>
        <w:tc>
          <w:tcPr>
            <w:tcW w:w="0" w:type="auto"/>
            <w:vMerge w:val="continue"/>
            <w:vAlign w:val="center"/>
          </w:tcPr>
          <w:p>
            <w:pPr>
              <w:jc w:val="center"/>
              <w:rPr>
                <w:rFonts w:ascii="仿宋_GB2312" w:hAnsi="宋体" w:eastAsia="仿宋_GB2312"/>
                <w:szCs w:val="32"/>
                <w:lang w:val="zh-CN"/>
              </w:rPr>
            </w:pP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硒肥15kg/亩</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0.609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jc w:val="center"/>
        </w:trPr>
        <w:tc>
          <w:tcPr>
            <w:tcW w:w="0" w:type="auto"/>
            <w:vMerge w:val="restart"/>
            <w:vAlign w:val="center"/>
          </w:tcPr>
          <w:p>
            <w:pPr>
              <w:jc w:val="center"/>
              <w:rPr>
                <w:rFonts w:ascii="仿宋_GB2312" w:hAnsi="宋体" w:eastAsia="仿宋_GB2312"/>
                <w:szCs w:val="32"/>
                <w:lang w:val="zh-CN"/>
              </w:rPr>
            </w:pPr>
            <w:r>
              <w:rPr>
                <w:rFonts w:hint="eastAsia" w:ascii="仿宋_GB2312" w:hAnsi="宋体" w:eastAsia="仿宋_GB2312"/>
                <w:szCs w:val="32"/>
                <w:lang w:val="zh-CN"/>
              </w:rPr>
              <w:t>2019.5</w:t>
            </w:r>
          </w:p>
        </w:tc>
        <w:tc>
          <w:tcPr>
            <w:tcW w:w="0" w:type="auto"/>
            <w:vMerge w:val="restart"/>
            <w:vAlign w:val="center"/>
          </w:tcPr>
          <w:p>
            <w:pPr>
              <w:jc w:val="center"/>
              <w:rPr>
                <w:rFonts w:ascii="仿宋_GB2312" w:hAnsi="宋体" w:eastAsia="仿宋_GB2312"/>
                <w:szCs w:val="32"/>
                <w:lang w:val="zh-CN"/>
              </w:rPr>
            </w:pPr>
            <w:r>
              <w:rPr>
                <w:rFonts w:hint="eastAsia" w:ascii="仿宋_GB2312" w:hAnsi="宋体" w:eastAsia="仿宋_GB2312"/>
                <w:szCs w:val="32"/>
                <w:lang w:val="zh-CN"/>
              </w:rPr>
              <w:t>凌云</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CK</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0.096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 w:hRule="atLeast"/>
          <w:jc w:val="center"/>
        </w:trPr>
        <w:tc>
          <w:tcPr>
            <w:tcW w:w="0" w:type="auto"/>
            <w:vMerge w:val="continue"/>
            <w:vAlign w:val="center"/>
          </w:tcPr>
          <w:p>
            <w:pPr>
              <w:jc w:val="center"/>
              <w:rPr>
                <w:rFonts w:ascii="仿宋_GB2312" w:hAnsi="宋体" w:eastAsia="仿宋_GB2312"/>
                <w:szCs w:val="32"/>
                <w:lang w:val="zh-CN"/>
              </w:rPr>
            </w:pPr>
          </w:p>
        </w:tc>
        <w:tc>
          <w:tcPr>
            <w:tcW w:w="0" w:type="auto"/>
            <w:vMerge w:val="continue"/>
            <w:vAlign w:val="center"/>
          </w:tcPr>
          <w:p>
            <w:pPr>
              <w:jc w:val="center"/>
              <w:rPr>
                <w:rFonts w:ascii="仿宋_GB2312" w:hAnsi="宋体" w:eastAsia="仿宋_GB2312"/>
                <w:szCs w:val="32"/>
                <w:lang w:val="zh-CN"/>
              </w:rPr>
            </w:pP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硒肥15kg/亩</w:t>
            </w:r>
          </w:p>
        </w:tc>
        <w:tc>
          <w:tcPr>
            <w:tcW w:w="0" w:type="auto"/>
            <w:vAlign w:val="center"/>
          </w:tcPr>
          <w:p>
            <w:pPr>
              <w:jc w:val="center"/>
              <w:rPr>
                <w:rFonts w:ascii="仿宋_GB2312" w:hAnsi="宋体" w:eastAsia="仿宋_GB2312"/>
                <w:szCs w:val="32"/>
                <w:lang w:val="zh-CN"/>
              </w:rPr>
            </w:pPr>
            <w:r>
              <w:rPr>
                <w:rFonts w:hint="eastAsia" w:ascii="仿宋_GB2312" w:hAnsi="宋体" w:eastAsia="仿宋_GB2312"/>
                <w:szCs w:val="32"/>
                <w:lang w:val="zh-CN"/>
              </w:rPr>
              <w:t>1.509</w:t>
            </w:r>
          </w:p>
        </w:tc>
      </w:tr>
    </w:tbl>
    <w:p>
      <w:pPr>
        <w:ind w:firstLine="562" w:firstLineChars="200"/>
        <w:rPr>
          <w:rFonts w:ascii="仿宋_GB2312" w:hAnsi="宋体" w:eastAsia="仿宋_GB2312"/>
          <w:b/>
          <w:sz w:val="28"/>
          <w:szCs w:val="32"/>
          <w:lang w:val="zh-CN"/>
        </w:rPr>
      </w:pPr>
      <w:r>
        <w:rPr>
          <w:rFonts w:hint="eastAsia" w:ascii="仿宋_GB2312" w:hAnsi="宋体" w:eastAsia="仿宋_GB2312"/>
          <w:b/>
          <w:sz w:val="28"/>
          <w:szCs w:val="32"/>
          <w:lang w:val="zh-CN"/>
        </w:rPr>
        <w:t>5.夏茶田间管理</w:t>
      </w:r>
    </w:p>
    <w:p>
      <w:pPr>
        <w:ind w:firstLine="560" w:firstLineChars="200"/>
        <w:rPr>
          <w:rFonts w:ascii="仿宋_GB2312" w:hAnsi="宋体" w:eastAsia="仿宋_GB2312"/>
          <w:sz w:val="28"/>
          <w:szCs w:val="28"/>
        </w:rPr>
      </w:pPr>
      <w:r>
        <w:rPr>
          <w:rFonts w:hint="eastAsia" w:ascii="仿宋_GB2312" w:hAnsi="宋体" w:eastAsia="仿宋_GB2312"/>
          <w:sz w:val="28"/>
          <w:szCs w:val="28"/>
        </w:rPr>
        <w:t>（1）茶园土壤经春季采摘人员的多次踩踏,土壤板结严重,通透性降低。随着气温的不断升高,茶园杂草开始迅猛生长,为增强茶园夏秋季的抗旱保肥能力,减少茶园杂草与茶树争夺水分和养分,春茶结束后要及时进行浅耕、除草,以疏松行间土壤,减少杂草对土壤水分和养分的消耗。</w:t>
      </w:r>
    </w:p>
    <w:p>
      <w:pPr>
        <w:ind w:firstLine="560" w:firstLineChars="200"/>
        <w:rPr>
          <w:rFonts w:ascii="仿宋_GB2312" w:hAnsi="宋体" w:eastAsia="仿宋_GB2312"/>
          <w:sz w:val="28"/>
          <w:szCs w:val="28"/>
        </w:rPr>
      </w:pPr>
      <w:r>
        <w:rPr>
          <w:rFonts w:hint="eastAsia" w:ascii="仿宋_GB2312" w:hAnsi="宋体" w:eastAsia="仿宋_GB2312"/>
          <w:sz w:val="28"/>
          <w:szCs w:val="28"/>
        </w:rPr>
        <w:t>（2）夏茶施肥采取浅耕施肥，浅耕抑制和减少杂草生长，疏松表土，增加土壤蓄水量。夏茶施肥以速效氮肥为主，春茶停采后（4月底）开沟5 cm～10 cm浅施，每667 m</w:t>
      </w:r>
      <w:r>
        <w:rPr>
          <w:rFonts w:hint="eastAsia" w:ascii="仿宋_GB2312" w:hAnsi="宋体" w:eastAsia="仿宋_GB2312"/>
          <w:sz w:val="28"/>
          <w:szCs w:val="28"/>
          <w:vertAlign w:val="superscript"/>
        </w:rPr>
        <w:t>2</w:t>
      </w:r>
      <w:r>
        <w:rPr>
          <w:rFonts w:hint="eastAsia" w:ascii="仿宋_GB2312" w:hAnsi="宋体" w:eastAsia="仿宋_GB2312"/>
          <w:sz w:val="28"/>
          <w:szCs w:val="28"/>
        </w:rPr>
        <w:t>施用尿素（按纯氮计）22 kg～26kg，施肥后盖土。夏季雨水充足，保持土壤含水量70％～80％为宜，雨季应及时排水防涝。</w:t>
      </w:r>
    </w:p>
    <w:p>
      <w:pPr>
        <w:ind w:firstLine="560" w:firstLineChars="200"/>
        <w:rPr>
          <w:rFonts w:ascii="仿宋_GB2312" w:hAnsi="宋体" w:eastAsia="仿宋_GB2312"/>
          <w:sz w:val="28"/>
          <w:szCs w:val="28"/>
        </w:rPr>
      </w:pPr>
      <w:r>
        <w:rPr>
          <w:rFonts w:hint="eastAsia" w:ascii="仿宋_GB2312" w:hAnsi="宋体" w:eastAsia="仿宋_GB2312"/>
          <w:sz w:val="28"/>
          <w:szCs w:val="28"/>
        </w:rPr>
        <w:t>（3）夏茶修剪：为了增加夏秋茶产量,提高夏秋茶品质,应在春茶采摘结束后立即进行一次适当的轻修剪。使茶树蓬面平整,提高新梢萌发的匀齐度,同时还可减少病虫危害,既有利于促进夏秋茶生产,同时也有利于次年春茶的增产增收。春茶停采后，进行约5 cm的浅剪。待7月中下旬夏茶停采后，需进行一次深剪，有利于秋茶品质的形成。</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（4）遮阴栽培</w:t>
      </w:r>
    </w:p>
    <w:p>
      <w:pPr>
        <w:ind w:firstLine="560" w:firstLineChars="200"/>
        <w:rPr>
          <w:rFonts w:ascii="仿宋_GB2312" w:hAnsi="宋体" w:eastAsia="仿宋_GB2312"/>
          <w:sz w:val="28"/>
          <w:szCs w:val="32"/>
          <w:lang w:val="zh-CN"/>
        </w:rPr>
      </w:pPr>
      <w:r>
        <w:rPr>
          <w:rFonts w:ascii="仿宋_GB2312" w:hAnsi="宋体" w:eastAsia="仿宋_GB2312"/>
          <w:sz w:val="28"/>
          <w:szCs w:val="32"/>
          <w:lang w:val="zh-CN"/>
        </w:rPr>
        <w:t>适宜的遮阴能减少夏季光照并降温，从而能提高茶叶的品质。本研究通过设置不同遮阴度（60%、75%、90%）及不同遮阴高度（1.3m、1.8m、2.2m）的遮阴网处理，并以不遮阴处理为对照，筛选出一种较好的遮阴模式，即75%遮阴度</w:t>
      </w:r>
      <w:r>
        <w:rPr>
          <w:rFonts w:hint="eastAsia" w:ascii="仿宋_GB2312" w:hAnsi="宋体" w:eastAsia="仿宋_GB2312"/>
          <w:sz w:val="28"/>
          <w:szCs w:val="32"/>
          <w:lang w:val="zh-CN"/>
        </w:rPr>
        <w:t>、</w:t>
      </w:r>
      <w:r>
        <w:rPr>
          <w:rFonts w:ascii="仿宋_GB2312" w:hAnsi="宋体" w:eastAsia="仿宋_GB2312"/>
          <w:sz w:val="28"/>
          <w:szCs w:val="32"/>
          <w:lang w:val="zh-CN"/>
        </w:rPr>
        <w:t>1.8m遮阴高度的遮阴网，在该遮阴模式下，夏茶叶绿素、氨基酸、水浸出物较对照有显著提高，分别提高6.65%、9.06%和63.92%，而茶多酚含量较对照降低15.45%，茶多酚明显减少，</w:t>
      </w:r>
      <w:r>
        <w:rPr>
          <w:rFonts w:hint="eastAsia" w:ascii="仿宋_GB2312" w:hAnsi="宋体" w:eastAsia="仿宋_GB2312"/>
          <w:sz w:val="28"/>
          <w:szCs w:val="32"/>
          <w:lang w:val="zh-CN"/>
        </w:rPr>
        <w:t>酚氨比降低，茶汤滋味更好，</w:t>
      </w:r>
      <w:r>
        <w:rPr>
          <w:rFonts w:ascii="仿宋_GB2312" w:hAnsi="宋体" w:eastAsia="仿宋_GB2312"/>
          <w:sz w:val="28"/>
          <w:szCs w:val="32"/>
          <w:lang w:val="zh-CN"/>
        </w:rPr>
        <w:t>夏茶的感官品质总体评分较高</w:t>
      </w:r>
      <w:r>
        <w:rPr>
          <w:rFonts w:hint="eastAsia" w:ascii="仿宋_GB2312" w:hAnsi="宋体" w:eastAsia="仿宋_GB2312"/>
          <w:sz w:val="28"/>
          <w:szCs w:val="32"/>
          <w:lang w:val="zh-CN"/>
        </w:rPr>
        <w:t>。</w:t>
      </w:r>
    </w:p>
    <w:p>
      <w:pPr>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（4）茶园</w:t>
      </w:r>
      <w:r>
        <w:rPr>
          <w:rFonts w:ascii="仿宋_GB2312" w:hAnsi="宋体" w:eastAsia="仿宋_GB2312"/>
          <w:sz w:val="28"/>
          <w:szCs w:val="32"/>
          <w:lang w:val="zh-CN"/>
        </w:rPr>
        <w:t>地下富硒-地上遮阴栽培技术研究</w:t>
      </w:r>
    </w:p>
    <w:p>
      <w:pPr>
        <w:ind w:firstLine="560" w:firstLineChars="200"/>
        <w:rPr>
          <w:rFonts w:hint="eastAsia" w:ascii="仿宋_GB2312" w:hAnsi="宋体" w:eastAsia="仿宋_GB2312"/>
          <w:sz w:val="28"/>
          <w:szCs w:val="32"/>
          <w:lang w:val="zh-CN"/>
        </w:rPr>
      </w:pPr>
      <w:r>
        <w:rPr>
          <w:rFonts w:hint="eastAsia" w:ascii="仿宋_GB2312" w:hAnsi="宋体" w:eastAsia="仿宋_GB2312"/>
          <w:sz w:val="28"/>
          <w:szCs w:val="32"/>
          <w:lang w:val="zh-CN"/>
        </w:rPr>
        <w:t>茶园试验设置：（1）露地对照CK；（2）150kg/亩土壤硒素活化调理剂处理（B150）；（3）300kg/亩土壤硒素活化调理剂处理（B300）;（4）15kg/亩硒肥处理（Se15）；（5）遮阳网处理（ZYW）；（6）遮阳网+150kg/亩土壤硒素活化调理剂处理（ZYW-B150）；（7）遮阳网+300kg/亩土壤硒素活化调理剂处理（ZYW-B300）；（8）遮阳网+15kg/亩硒肥处理（ZYW-Se15）。其中遮阳网遮阴率为75%，遮阴高度设置为1.8m。经筛选，ZYW-B150处理夏茶品质较佳，该处理下，夏茶叶绿素、水浸出物、硒含量较对照显著增加，分别提高66.19%、14.14%、39.06%，而茶多酚含量较对照明显减少，较对照减少37.66%，虽然在该处理下，氨基酸含量有所下降，但总体酚氨比低于对照。且经感官品质评分，ZYW-B150处理夏茶品质评分最高，茶叶品质最优。</w:t>
      </w:r>
    </w:p>
    <w:p>
      <w:pPr>
        <w:ind w:firstLine="560" w:firstLineChars="200"/>
        <w:rPr>
          <w:rFonts w:hint="eastAsia" w:ascii="仿宋_GB2312" w:hAnsi="宋体" w:eastAsia="仿宋_GB2312"/>
          <w:sz w:val="28"/>
          <w:szCs w:val="32"/>
          <w:lang w:val="zh-CN"/>
        </w:rPr>
      </w:pPr>
    </w:p>
    <w:p>
      <w:pPr>
        <w:ind w:firstLine="560" w:firstLineChars="200"/>
        <w:rPr>
          <w:rFonts w:ascii="仿宋_GB2312" w:hAnsi="宋体" w:eastAsia="仿宋_GB2312"/>
          <w:sz w:val="28"/>
          <w:szCs w:val="32"/>
          <w:lang w:val="zh-CN"/>
        </w:rPr>
      </w:pPr>
    </w:p>
    <w:p>
      <w:pPr>
        <w:spacing w:beforeLines="50"/>
        <w:jc w:val="center"/>
        <w:rPr>
          <w:rFonts w:ascii="仿宋_GB2312" w:hAnsi="宋体" w:eastAsia="仿宋_GB2312"/>
          <w:b/>
          <w:sz w:val="28"/>
          <w:szCs w:val="32"/>
          <w:lang w:val="zh-CN"/>
        </w:rPr>
      </w:pPr>
      <w:r>
        <w:rPr>
          <w:rFonts w:hint="eastAsia" w:ascii="仿宋_GB2312" w:hAnsi="宋体" w:eastAsia="仿宋_GB2312"/>
          <w:b/>
          <w:sz w:val="28"/>
          <w:szCs w:val="32"/>
          <w:lang w:val="zh-CN"/>
        </w:rPr>
        <w:t>表7  夏茶内含物质含量</w:t>
      </w:r>
    </w:p>
    <w:tbl>
      <w:tblPr>
        <w:tblStyle w:val="6"/>
        <w:tblW w:w="10901" w:type="dxa"/>
        <w:jc w:val="center"/>
        <w:tblLayout w:type="autofit"/>
        <w:tblCellMar>
          <w:top w:w="0" w:type="dxa"/>
          <w:left w:w="108" w:type="dxa"/>
          <w:bottom w:w="0" w:type="dxa"/>
          <w:right w:w="108" w:type="dxa"/>
        </w:tblCellMar>
      </w:tblPr>
      <w:tblGrid>
        <w:gridCol w:w="1733"/>
        <w:gridCol w:w="1655"/>
        <w:gridCol w:w="1452"/>
        <w:gridCol w:w="1620"/>
        <w:gridCol w:w="1606"/>
        <w:gridCol w:w="1493"/>
        <w:gridCol w:w="1342"/>
      </w:tblGrid>
      <w:tr>
        <w:tblPrEx>
          <w:tblCellMar>
            <w:top w:w="0" w:type="dxa"/>
            <w:left w:w="108" w:type="dxa"/>
            <w:bottom w:w="0" w:type="dxa"/>
            <w:right w:w="108" w:type="dxa"/>
          </w:tblCellMar>
        </w:tblPrEx>
        <w:trPr>
          <w:trHeight w:val="315" w:hRule="atLeast"/>
          <w:jc w:val="center"/>
        </w:trPr>
        <w:tc>
          <w:tcPr>
            <w:tcW w:w="17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样本编号</w:t>
            </w:r>
          </w:p>
        </w:tc>
        <w:tc>
          <w:tcPr>
            <w:tcW w:w="165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叶绿素总量（</w:t>
            </w:r>
            <w:r>
              <w:rPr>
                <w:rFonts w:ascii="仿宋_GB2312" w:hAnsi="宋体" w:eastAsia="仿宋_GB2312"/>
                <w:b/>
                <w:kern w:val="0"/>
                <w:sz w:val="18"/>
                <w:szCs w:val="18"/>
              </w:rPr>
              <w:t>mg/g</w:t>
            </w:r>
            <w:r>
              <w:rPr>
                <w:rFonts w:hint="eastAsia" w:ascii="仿宋_GB2312" w:hAnsi="宋体" w:eastAsia="仿宋_GB2312"/>
                <w:b/>
                <w:kern w:val="0"/>
                <w:sz w:val="18"/>
                <w:szCs w:val="18"/>
              </w:rPr>
              <w:t>）</w:t>
            </w:r>
          </w:p>
        </w:tc>
        <w:tc>
          <w:tcPr>
            <w:tcW w:w="145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水浸出物含量</w:t>
            </w:r>
          </w:p>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w:t>
            </w:r>
            <w:r>
              <w:rPr>
                <w:rFonts w:ascii="仿宋_GB2312" w:hAnsi="宋体" w:eastAsia="仿宋_GB2312"/>
                <w:b/>
                <w:kern w:val="0"/>
                <w:sz w:val="18"/>
                <w:szCs w:val="18"/>
              </w:rPr>
              <w:t>%</w:t>
            </w:r>
            <w:r>
              <w:rPr>
                <w:rFonts w:hint="eastAsia" w:ascii="仿宋_GB2312" w:hAnsi="宋体" w:eastAsia="仿宋_GB2312"/>
                <w:b/>
                <w:kern w:val="0"/>
                <w:sz w:val="18"/>
                <w:szCs w:val="18"/>
              </w:rPr>
              <w:t>）</w:t>
            </w:r>
          </w:p>
        </w:tc>
        <w:tc>
          <w:tcPr>
            <w:tcW w:w="162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茶多酚含量</w:t>
            </w:r>
          </w:p>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w:t>
            </w:r>
            <w:r>
              <w:rPr>
                <w:rFonts w:ascii="仿宋_GB2312" w:hAnsi="宋体" w:eastAsia="仿宋_GB2312"/>
                <w:b/>
                <w:kern w:val="0"/>
                <w:sz w:val="18"/>
                <w:szCs w:val="18"/>
              </w:rPr>
              <w:t>%</w:t>
            </w:r>
            <w:r>
              <w:rPr>
                <w:rFonts w:hint="eastAsia" w:ascii="仿宋_GB2312" w:hAnsi="宋体" w:eastAsia="仿宋_GB2312"/>
                <w:b/>
                <w:kern w:val="0"/>
                <w:sz w:val="18"/>
                <w:szCs w:val="18"/>
              </w:rPr>
              <w:t>）</w:t>
            </w:r>
          </w:p>
        </w:tc>
        <w:tc>
          <w:tcPr>
            <w:tcW w:w="160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游离氨基酸含量</w:t>
            </w:r>
          </w:p>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w:t>
            </w:r>
            <w:r>
              <w:rPr>
                <w:rFonts w:ascii="仿宋_GB2312" w:hAnsi="宋体" w:eastAsia="仿宋_GB2312"/>
                <w:b/>
                <w:kern w:val="0"/>
                <w:sz w:val="18"/>
                <w:szCs w:val="18"/>
              </w:rPr>
              <w:t>%</w:t>
            </w:r>
            <w:r>
              <w:rPr>
                <w:rFonts w:hint="eastAsia" w:ascii="仿宋_GB2312" w:hAnsi="宋体" w:eastAsia="仿宋_GB2312"/>
                <w:b/>
                <w:kern w:val="0"/>
                <w:sz w:val="18"/>
                <w:szCs w:val="18"/>
              </w:rPr>
              <w:t>）</w:t>
            </w:r>
          </w:p>
        </w:tc>
        <w:tc>
          <w:tcPr>
            <w:tcW w:w="149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酚氨比</w:t>
            </w:r>
          </w:p>
        </w:tc>
        <w:tc>
          <w:tcPr>
            <w:tcW w:w="1342"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硒含量</w:t>
            </w:r>
          </w:p>
          <w:p>
            <w:pPr>
              <w:widowControl/>
              <w:jc w:val="center"/>
              <w:rPr>
                <w:rFonts w:ascii="仿宋_GB2312" w:hAnsi="宋体" w:eastAsia="仿宋_GB2312"/>
                <w:b/>
                <w:kern w:val="0"/>
                <w:sz w:val="18"/>
                <w:szCs w:val="18"/>
              </w:rPr>
            </w:pPr>
            <w:r>
              <w:rPr>
                <w:rFonts w:hint="eastAsia" w:ascii="仿宋_GB2312" w:hAnsi="宋体" w:eastAsia="仿宋_GB2312"/>
                <w:b/>
                <w:kern w:val="0"/>
                <w:sz w:val="18"/>
                <w:szCs w:val="18"/>
              </w:rPr>
              <w:t>（mg/kg）</w:t>
            </w:r>
          </w:p>
        </w:tc>
      </w:tr>
      <w:tr>
        <w:tblPrEx>
          <w:tblCellMar>
            <w:top w:w="0" w:type="dxa"/>
            <w:left w:w="108" w:type="dxa"/>
            <w:bottom w:w="0" w:type="dxa"/>
            <w:right w:w="108" w:type="dxa"/>
          </w:tblCellMar>
        </w:tblPrEx>
        <w:trPr>
          <w:trHeight w:val="315" w:hRule="atLeast"/>
          <w:jc w:val="center"/>
        </w:trPr>
        <w:tc>
          <w:tcPr>
            <w:tcW w:w="1733"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CK</w:t>
            </w:r>
          </w:p>
        </w:tc>
        <w:tc>
          <w:tcPr>
            <w:tcW w:w="1655"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0.210 </w:t>
            </w:r>
          </w:p>
        </w:tc>
        <w:tc>
          <w:tcPr>
            <w:tcW w:w="1452"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39.33</w:t>
            </w:r>
          </w:p>
        </w:tc>
        <w:tc>
          <w:tcPr>
            <w:tcW w:w="1620"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15.926 </w:t>
            </w:r>
          </w:p>
        </w:tc>
        <w:tc>
          <w:tcPr>
            <w:tcW w:w="1606"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2.335</w:t>
            </w:r>
          </w:p>
        </w:tc>
        <w:tc>
          <w:tcPr>
            <w:tcW w:w="1493"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6.82 </w:t>
            </w:r>
          </w:p>
        </w:tc>
        <w:tc>
          <w:tcPr>
            <w:tcW w:w="1342" w:type="dxa"/>
            <w:tcBorders>
              <w:top w:val="nil"/>
              <w:left w:val="nil"/>
              <w:bottom w:val="single" w:color="auto" w:sz="4" w:space="0"/>
              <w:right w:val="single" w:color="auto" w:sz="4" w:space="0"/>
            </w:tcBorders>
            <w:vAlign w:val="bottom"/>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0.192</w:t>
            </w:r>
          </w:p>
        </w:tc>
      </w:tr>
      <w:tr>
        <w:tblPrEx>
          <w:tblCellMar>
            <w:top w:w="0" w:type="dxa"/>
            <w:left w:w="108" w:type="dxa"/>
            <w:bottom w:w="0" w:type="dxa"/>
            <w:right w:w="108" w:type="dxa"/>
          </w:tblCellMar>
        </w:tblPrEx>
        <w:trPr>
          <w:trHeight w:val="315" w:hRule="atLeast"/>
          <w:jc w:val="center"/>
        </w:trPr>
        <w:tc>
          <w:tcPr>
            <w:tcW w:w="1733"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B150</w:t>
            </w:r>
          </w:p>
        </w:tc>
        <w:tc>
          <w:tcPr>
            <w:tcW w:w="1655"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0.165 </w:t>
            </w:r>
          </w:p>
        </w:tc>
        <w:tc>
          <w:tcPr>
            <w:tcW w:w="1452"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44.04</w:t>
            </w:r>
          </w:p>
        </w:tc>
        <w:tc>
          <w:tcPr>
            <w:tcW w:w="1620"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16.165 </w:t>
            </w:r>
          </w:p>
        </w:tc>
        <w:tc>
          <w:tcPr>
            <w:tcW w:w="1606"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3.198</w:t>
            </w:r>
          </w:p>
        </w:tc>
        <w:tc>
          <w:tcPr>
            <w:tcW w:w="1493"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5.05 </w:t>
            </w:r>
          </w:p>
        </w:tc>
        <w:tc>
          <w:tcPr>
            <w:tcW w:w="1342" w:type="dxa"/>
            <w:tcBorders>
              <w:top w:val="nil"/>
              <w:left w:val="nil"/>
              <w:bottom w:val="single" w:color="auto" w:sz="4" w:space="0"/>
              <w:right w:val="single" w:color="auto" w:sz="4" w:space="0"/>
            </w:tcBorders>
            <w:vAlign w:val="bottom"/>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0.271</w:t>
            </w:r>
          </w:p>
        </w:tc>
      </w:tr>
      <w:tr>
        <w:tblPrEx>
          <w:tblCellMar>
            <w:top w:w="0" w:type="dxa"/>
            <w:left w:w="108" w:type="dxa"/>
            <w:bottom w:w="0" w:type="dxa"/>
            <w:right w:w="108" w:type="dxa"/>
          </w:tblCellMar>
        </w:tblPrEx>
        <w:trPr>
          <w:trHeight w:val="315" w:hRule="atLeast"/>
          <w:jc w:val="center"/>
        </w:trPr>
        <w:tc>
          <w:tcPr>
            <w:tcW w:w="1733"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B300</w:t>
            </w:r>
          </w:p>
        </w:tc>
        <w:tc>
          <w:tcPr>
            <w:tcW w:w="1655"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0.202 </w:t>
            </w:r>
          </w:p>
        </w:tc>
        <w:tc>
          <w:tcPr>
            <w:tcW w:w="1452"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42.09</w:t>
            </w:r>
          </w:p>
        </w:tc>
        <w:tc>
          <w:tcPr>
            <w:tcW w:w="1620"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15.866 </w:t>
            </w:r>
          </w:p>
        </w:tc>
        <w:tc>
          <w:tcPr>
            <w:tcW w:w="1606"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2.249</w:t>
            </w:r>
          </w:p>
        </w:tc>
        <w:tc>
          <w:tcPr>
            <w:tcW w:w="1493"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7.05 </w:t>
            </w:r>
          </w:p>
        </w:tc>
        <w:tc>
          <w:tcPr>
            <w:tcW w:w="1342" w:type="dxa"/>
            <w:tcBorders>
              <w:top w:val="nil"/>
              <w:left w:val="nil"/>
              <w:bottom w:val="single" w:color="auto" w:sz="4" w:space="0"/>
              <w:right w:val="single" w:color="auto" w:sz="4" w:space="0"/>
            </w:tcBorders>
            <w:vAlign w:val="bottom"/>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0.309</w:t>
            </w:r>
          </w:p>
        </w:tc>
      </w:tr>
      <w:tr>
        <w:tblPrEx>
          <w:tblCellMar>
            <w:top w:w="0" w:type="dxa"/>
            <w:left w:w="108" w:type="dxa"/>
            <w:bottom w:w="0" w:type="dxa"/>
            <w:right w:w="108" w:type="dxa"/>
          </w:tblCellMar>
        </w:tblPrEx>
        <w:trPr>
          <w:trHeight w:val="315" w:hRule="atLeast"/>
          <w:jc w:val="center"/>
        </w:trPr>
        <w:tc>
          <w:tcPr>
            <w:tcW w:w="1733"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Se15</w:t>
            </w:r>
          </w:p>
        </w:tc>
        <w:tc>
          <w:tcPr>
            <w:tcW w:w="1655"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0.272 </w:t>
            </w:r>
          </w:p>
        </w:tc>
        <w:tc>
          <w:tcPr>
            <w:tcW w:w="1452"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37.43</w:t>
            </w:r>
          </w:p>
        </w:tc>
        <w:tc>
          <w:tcPr>
            <w:tcW w:w="1620"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15.107 </w:t>
            </w:r>
          </w:p>
        </w:tc>
        <w:tc>
          <w:tcPr>
            <w:tcW w:w="1606"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2.401</w:t>
            </w:r>
          </w:p>
        </w:tc>
        <w:tc>
          <w:tcPr>
            <w:tcW w:w="1493"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6.29 </w:t>
            </w:r>
          </w:p>
        </w:tc>
        <w:tc>
          <w:tcPr>
            <w:tcW w:w="1342" w:type="dxa"/>
            <w:tcBorders>
              <w:top w:val="nil"/>
              <w:left w:val="nil"/>
              <w:bottom w:val="single" w:color="auto" w:sz="4" w:space="0"/>
              <w:right w:val="single" w:color="auto" w:sz="4" w:space="0"/>
            </w:tcBorders>
            <w:vAlign w:val="bottom"/>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0.733</w:t>
            </w:r>
          </w:p>
        </w:tc>
      </w:tr>
      <w:tr>
        <w:tblPrEx>
          <w:tblCellMar>
            <w:top w:w="0" w:type="dxa"/>
            <w:left w:w="108" w:type="dxa"/>
            <w:bottom w:w="0" w:type="dxa"/>
            <w:right w:w="108" w:type="dxa"/>
          </w:tblCellMar>
        </w:tblPrEx>
        <w:trPr>
          <w:trHeight w:val="315" w:hRule="atLeast"/>
          <w:jc w:val="center"/>
        </w:trPr>
        <w:tc>
          <w:tcPr>
            <w:tcW w:w="1733"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ZYW</w:t>
            </w:r>
          </w:p>
        </w:tc>
        <w:tc>
          <w:tcPr>
            <w:tcW w:w="1655"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0.434 </w:t>
            </w:r>
          </w:p>
        </w:tc>
        <w:tc>
          <w:tcPr>
            <w:tcW w:w="1452"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36.58</w:t>
            </w:r>
          </w:p>
        </w:tc>
        <w:tc>
          <w:tcPr>
            <w:tcW w:w="1620"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9.120 </w:t>
            </w:r>
          </w:p>
        </w:tc>
        <w:tc>
          <w:tcPr>
            <w:tcW w:w="1606"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1.794</w:t>
            </w:r>
          </w:p>
        </w:tc>
        <w:tc>
          <w:tcPr>
            <w:tcW w:w="1493"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5.08 </w:t>
            </w:r>
          </w:p>
        </w:tc>
        <w:tc>
          <w:tcPr>
            <w:tcW w:w="1342" w:type="dxa"/>
            <w:tcBorders>
              <w:top w:val="nil"/>
              <w:left w:val="nil"/>
              <w:bottom w:val="single" w:color="auto" w:sz="4" w:space="0"/>
              <w:right w:val="single" w:color="auto" w:sz="4" w:space="0"/>
            </w:tcBorders>
            <w:vAlign w:val="bottom"/>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0.098</w:t>
            </w:r>
          </w:p>
        </w:tc>
      </w:tr>
      <w:tr>
        <w:tblPrEx>
          <w:tblCellMar>
            <w:top w:w="0" w:type="dxa"/>
            <w:left w:w="108" w:type="dxa"/>
            <w:bottom w:w="0" w:type="dxa"/>
            <w:right w:w="108" w:type="dxa"/>
          </w:tblCellMar>
        </w:tblPrEx>
        <w:trPr>
          <w:trHeight w:val="315" w:hRule="atLeast"/>
          <w:jc w:val="center"/>
        </w:trPr>
        <w:tc>
          <w:tcPr>
            <w:tcW w:w="1733"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ZYW-B150</w:t>
            </w:r>
          </w:p>
        </w:tc>
        <w:tc>
          <w:tcPr>
            <w:tcW w:w="1655"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0.349 </w:t>
            </w:r>
          </w:p>
        </w:tc>
        <w:tc>
          <w:tcPr>
            <w:tcW w:w="1452"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44.89</w:t>
            </w:r>
          </w:p>
        </w:tc>
        <w:tc>
          <w:tcPr>
            <w:tcW w:w="1620"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9.927 </w:t>
            </w:r>
          </w:p>
        </w:tc>
        <w:tc>
          <w:tcPr>
            <w:tcW w:w="1606"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1.906</w:t>
            </w:r>
          </w:p>
        </w:tc>
        <w:tc>
          <w:tcPr>
            <w:tcW w:w="1493"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5.21 </w:t>
            </w:r>
          </w:p>
        </w:tc>
        <w:tc>
          <w:tcPr>
            <w:tcW w:w="1342" w:type="dxa"/>
            <w:tcBorders>
              <w:top w:val="nil"/>
              <w:left w:val="nil"/>
              <w:bottom w:val="single" w:color="auto" w:sz="4" w:space="0"/>
              <w:right w:val="single" w:color="auto" w:sz="4" w:space="0"/>
            </w:tcBorders>
            <w:vAlign w:val="bottom"/>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0.267</w:t>
            </w:r>
          </w:p>
        </w:tc>
      </w:tr>
      <w:tr>
        <w:tblPrEx>
          <w:tblCellMar>
            <w:top w:w="0" w:type="dxa"/>
            <w:left w:w="108" w:type="dxa"/>
            <w:bottom w:w="0" w:type="dxa"/>
            <w:right w:w="108" w:type="dxa"/>
          </w:tblCellMar>
        </w:tblPrEx>
        <w:trPr>
          <w:trHeight w:val="315" w:hRule="atLeast"/>
          <w:jc w:val="center"/>
        </w:trPr>
        <w:tc>
          <w:tcPr>
            <w:tcW w:w="1733"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ZYW-B300</w:t>
            </w:r>
          </w:p>
        </w:tc>
        <w:tc>
          <w:tcPr>
            <w:tcW w:w="1655"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0.330 </w:t>
            </w:r>
          </w:p>
        </w:tc>
        <w:tc>
          <w:tcPr>
            <w:tcW w:w="1452"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35.11</w:t>
            </w:r>
          </w:p>
        </w:tc>
        <w:tc>
          <w:tcPr>
            <w:tcW w:w="1620"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22.848 </w:t>
            </w:r>
          </w:p>
        </w:tc>
        <w:tc>
          <w:tcPr>
            <w:tcW w:w="1606"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1.833</w:t>
            </w:r>
          </w:p>
        </w:tc>
        <w:tc>
          <w:tcPr>
            <w:tcW w:w="1493"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12.47 </w:t>
            </w:r>
          </w:p>
        </w:tc>
        <w:tc>
          <w:tcPr>
            <w:tcW w:w="1342" w:type="dxa"/>
            <w:tcBorders>
              <w:top w:val="nil"/>
              <w:left w:val="nil"/>
              <w:bottom w:val="single" w:color="auto" w:sz="4" w:space="0"/>
              <w:right w:val="single" w:color="auto" w:sz="4" w:space="0"/>
            </w:tcBorders>
            <w:vAlign w:val="bottom"/>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0.274</w:t>
            </w:r>
          </w:p>
        </w:tc>
      </w:tr>
      <w:tr>
        <w:tblPrEx>
          <w:tblCellMar>
            <w:top w:w="0" w:type="dxa"/>
            <w:left w:w="108" w:type="dxa"/>
            <w:bottom w:w="0" w:type="dxa"/>
            <w:right w:w="108" w:type="dxa"/>
          </w:tblCellMar>
        </w:tblPrEx>
        <w:trPr>
          <w:trHeight w:val="315" w:hRule="atLeast"/>
          <w:jc w:val="center"/>
        </w:trPr>
        <w:tc>
          <w:tcPr>
            <w:tcW w:w="1733"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ZYW-Se15</w:t>
            </w:r>
          </w:p>
        </w:tc>
        <w:tc>
          <w:tcPr>
            <w:tcW w:w="1655"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0.277 </w:t>
            </w:r>
          </w:p>
        </w:tc>
        <w:tc>
          <w:tcPr>
            <w:tcW w:w="1452"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31.3</w:t>
            </w:r>
          </w:p>
        </w:tc>
        <w:tc>
          <w:tcPr>
            <w:tcW w:w="1620"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11.365 </w:t>
            </w:r>
          </w:p>
        </w:tc>
        <w:tc>
          <w:tcPr>
            <w:tcW w:w="1606"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1.976</w:t>
            </w:r>
          </w:p>
        </w:tc>
        <w:tc>
          <w:tcPr>
            <w:tcW w:w="1493" w:type="dxa"/>
            <w:tcBorders>
              <w:top w:val="nil"/>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kern w:val="0"/>
                <w:sz w:val="18"/>
                <w:szCs w:val="18"/>
              </w:rPr>
            </w:pPr>
            <w:r>
              <w:rPr>
                <w:rFonts w:ascii="仿宋_GB2312" w:hAnsi="宋体" w:eastAsia="仿宋_GB2312"/>
                <w:kern w:val="0"/>
                <w:sz w:val="18"/>
                <w:szCs w:val="18"/>
              </w:rPr>
              <w:t xml:space="preserve">5.75 </w:t>
            </w:r>
          </w:p>
        </w:tc>
        <w:tc>
          <w:tcPr>
            <w:tcW w:w="1342" w:type="dxa"/>
            <w:tcBorders>
              <w:top w:val="nil"/>
              <w:left w:val="nil"/>
              <w:bottom w:val="single" w:color="auto" w:sz="4" w:space="0"/>
              <w:right w:val="single" w:color="auto" w:sz="4" w:space="0"/>
            </w:tcBorders>
            <w:vAlign w:val="bottom"/>
          </w:tcPr>
          <w:p>
            <w:pPr>
              <w:widowControl/>
              <w:jc w:val="center"/>
              <w:rPr>
                <w:rFonts w:ascii="仿宋_GB2312" w:hAnsi="宋体" w:eastAsia="仿宋_GB2312"/>
                <w:kern w:val="0"/>
                <w:sz w:val="18"/>
                <w:szCs w:val="18"/>
              </w:rPr>
            </w:pPr>
            <w:r>
              <w:rPr>
                <w:rFonts w:hint="eastAsia" w:ascii="仿宋_GB2312" w:hAnsi="宋体" w:eastAsia="仿宋_GB2312"/>
                <w:kern w:val="0"/>
                <w:sz w:val="18"/>
                <w:szCs w:val="18"/>
              </w:rPr>
              <w:t>0.296</w:t>
            </w:r>
          </w:p>
        </w:tc>
      </w:tr>
    </w:tbl>
    <w:p>
      <w:pPr>
        <w:spacing w:beforeLines="100"/>
        <w:jc w:val="center"/>
        <w:rPr>
          <w:rFonts w:ascii="仿宋_GB2312" w:hAnsi="宋体" w:eastAsia="仿宋_GB2312"/>
          <w:b/>
          <w:sz w:val="28"/>
          <w:szCs w:val="32"/>
          <w:lang w:val="zh-CN"/>
        </w:rPr>
      </w:pPr>
      <w:r>
        <w:rPr>
          <w:rFonts w:hint="eastAsia" w:ascii="仿宋_GB2312" w:hAnsi="宋体" w:eastAsia="仿宋_GB2312"/>
          <w:b/>
          <w:sz w:val="28"/>
          <w:szCs w:val="32"/>
          <w:lang w:val="zh-CN"/>
        </w:rPr>
        <w:t>表8  夏茶感官品质评分</w:t>
      </w:r>
    </w:p>
    <w:tbl>
      <w:tblPr>
        <w:tblStyle w:val="6"/>
        <w:tblW w:w="10874" w:type="dxa"/>
        <w:jc w:val="center"/>
        <w:tblLayout w:type="fixed"/>
        <w:tblCellMar>
          <w:top w:w="0" w:type="dxa"/>
          <w:left w:w="108" w:type="dxa"/>
          <w:bottom w:w="0" w:type="dxa"/>
          <w:right w:w="108" w:type="dxa"/>
        </w:tblCellMar>
      </w:tblPr>
      <w:tblGrid>
        <w:gridCol w:w="1225"/>
        <w:gridCol w:w="709"/>
        <w:gridCol w:w="425"/>
        <w:gridCol w:w="709"/>
        <w:gridCol w:w="425"/>
        <w:gridCol w:w="709"/>
        <w:gridCol w:w="567"/>
        <w:gridCol w:w="708"/>
        <w:gridCol w:w="426"/>
        <w:gridCol w:w="708"/>
        <w:gridCol w:w="426"/>
        <w:gridCol w:w="708"/>
        <w:gridCol w:w="490"/>
        <w:gridCol w:w="708"/>
        <w:gridCol w:w="426"/>
        <w:gridCol w:w="737"/>
        <w:gridCol w:w="768"/>
      </w:tblGrid>
      <w:tr>
        <w:tblPrEx>
          <w:tblCellMar>
            <w:top w:w="0" w:type="dxa"/>
            <w:left w:w="108" w:type="dxa"/>
            <w:bottom w:w="0" w:type="dxa"/>
            <w:right w:w="108" w:type="dxa"/>
          </w:tblCellMar>
        </w:tblPrEx>
        <w:trPr>
          <w:cantSplit/>
          <w:trHeight w:val="315" w:hRule="atLeast"/>
          <w:jc w:val="center"/>
        </w:trPr>
        <w:tc>
          <w:tcPr>
            <w:tcW w:w="1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茶叶处理</w:t>
            </w:r>
          </w:p>
        </w:tc>
        <w:tc>
          <w:tcPr>
            <w:tcW w:w="3544" w:type="dxa"/>
            <w:gridSpan w:val="6"/>
            <w:tcBorders>
              <w:top w:val="single" w:color="000000" w:sz="4" w:space="0"/>
              <w:left w:val="nil"/>
              <w:bottom w:val="single" w:color="000000" w:sz="4" w:space="0"/>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外形（</w:t>
            </w:r>
            <w:r>
              <w:rPr>
                <w:rFonts w:hint="eastAsia" w:ascii="仿宋_GB2312" w:eastAsia="仿宋_GB2312"/>
                <w:b/>
                <w:kern w:val="0"/>
                <w:sz w:val="18"/>
                <w:szCs w:val="18"/>
              </w:rPr>
              <w:t>15</w:t>
            </w:r>
            <w:r>
              <w:rPr>
                <w:rFonts w:hint="eastAsia" w:ascii="仿宋_GB2312" w:hAnsi="宋体" w:eastAsia="仿宋_GB2312"/>
                <w:b/>
                <w:kern w:val="0"/>
                <w:sz w:val="18"/>
                <w:szCs w:val="18"/>
              </w:rPr>
              <w:t>分）</w:t>
            </w:r>
          </w:p>
        </w:tc>
        <w:tc>
          <w:tcPr>
            <w:tcW w:w="4600" w:type="dxa"/>
            <w:gridSpan w:val="8"/>
            <w:tcBorders>
              <w:top w:val="single" w:color="000000" w:sz="4" w:space="0"/>
              <w:left w:val="nil"/>
              <w:bottom w:val="single" w:color="000000" w:sz="4" w:space="0"/>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内质（</w:t>
            </w:r>
            <w:r>
              <w:rPr>
                <w:rFonts w:hint="eastAsia" w:ascii="仿宋_GB2312" w:eastAsia="仿宋_GB2312"/>
                <w:b/>
                <w:kern w:val="0"/>
                <w:sz w:val="18"/>
                <w:szCs w:val="18"/>
              </w:rPr>
              <w:t>85</w:t>
            </w:r>
            <w:r>
              <w:rPr>
                <w:rFonts w:hint="eastAsia" w:ascii="仿宋_GB2312" w:hAnsi="宋体" w:eastAsia="仿宋_GB2312"/>
                <w:b/>
                <w:kern w:val="0"/>
                <w:sz w:val="18"/>
                <w:szCs w:val="18"/>
              </w:rPr>
              <w:t>分）</w:t>
            </w:r>
          </w:p>
        </w:tc>
        <w:tc>
          <w:tcPr>
            <w:tcW w:w="737"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总分</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名次</w:t>
            </w:r>
          </w:p>
        </w:tc>
      </w:tr>
      <w:tr>
        <w:tblPrEx>
          <w:tblCellMar>
            <w:top w:w="0" w:type="dxa"/>
            <w:left w:w="108" w:type="dxa"/>
            <w:bottom w:w="0" w:type="dxa"/>
            <w:right w:w="108" w:type="dxa"/>
          </w:tblCellMar>
        </w:tblPrEx>
        <w:trPr>
          <w:cantSplit/>
          <w:trHeight w:val="315" w:hRule="atLeast"/>
          <w:jc w:val="center"/>
        </w:trPr>
        <w:tc>
          <w:tcPr>
            <w:tcW w:w="122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eastAsia="仿宋_GB2312"/>
                <w:b/>
                <w:kern w:val="0"/>
                <w:sz w:val="18"/>
                <w:szCs w:val="18"/>
              </w:rPr>
            </w:pPr>
          </w:p>
        </w:tc>
        <w:tc>
          <w:tcPr>
            <w:tcW w:w="1134" w:type="dxa"/>
            <w:gridSpan w:val="2"/>
            <w:tcBorders>
              <w:top w:val="single" w:color="000000" w:sz="4" w:space="0"/>
              <w:left w:val="nil"/>
              <w:bottom w:val="single" w:color="000000" w:sz="4" w:space="0"/>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条索（</w:t>
            </w:r>
            <w:r>
              <w:rPr>
                <w:rFonts w:hint="eastAsia" w:ascii="仿宋_GB2312" w:eastAsia="仿宋_GB2312"/>
                <w:b/>
                <w:kern w:val="0"/>
                <w:sz w:val="18"/>
                <w:szCs w:val="18"/>
              </w:rPr>
              <w:t>5</w:t>
            </w:r>
            <w:r>
              <w:rPr>
                <w:rFonts w:hint="eastAsia" w:ascii="仿宋_GB2312" w:hAnsi="宋体" w:eastAsia="仿宋_GB2312"/>
                <w:b/>
                <w:kern w:val="0"/>
                <w:sz w:val="18"/>
                <w:szCs w:val="18"/>
              </w:rPr>
              <w:t>分）</w:t>
            </w:r>
          </w:p>
        </w:tc>
        <w:tc>
          <w:tcPr>
            <w:tcW w:w="1134" w:type="dxa"/>
            <w:gridSpan w:val="2"/>
            <w:tcBorders>
              <w:top w:val="single" w:color="000000" w:sz="4" w:space="0"/>
              <w:left w:val="nil"/>
              <w:bottom w:val="single" w:color="000000" w:sz="4" w:space="0"/>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色泽（</w:t>
            </w:r>
            <w:r>
              <w:rPr>
                <w:rFonts w:hint="eastAsia" w:ascii="仿宋_GB2312" w:eastAsia="仿宋_GB2312"/>
                <w:b/>
                <w:kern w:val="0"/>
                <w:sz w:val="18"/>
                <w:szCs w:val="18"/>
              </w:rPr>
              <w:t>5</w:t>
            </w:r>
            <w:r>
              <w:rPr>
                <w:rFonts w:hint="eastAsia" w:ascii="仿宋_GB2312" w:hAnsi="宋体" w:eastAsia="仿宋_GB2312"/>
                <w:b/>
                <w:kern w:val="0"/>
                <w:sz w:val="18"/>
                <w:szCs w:val="18"/>
              </w:rPr>
              <w:t>分）</w:t>
            </w:r>
          </w:p>
        </w:tc>
        <w:tc>
          <w:tcPr>
            <w:tcW w:w="1276" w:type="dxa"/>
            <w:gridSpan w:val="2"/>
            <w:tcBorders>
              <w:top w:val="single" w:color="000000" w:sz="4" w:space="0"/>
              <w:left w:val="nil"/>
              <w:bottom w:val="single" w:color="000000" w:sz="4" w:space="0"/>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净度（</w:t>
            </w:r>
            <w:r>
              <w:rPr>
                <w:rFonts w:hint="eastAsia" w:ascii="仿宋_GB2312" w:eastAsia="仿宋_GB2312"/>
                <w:b/>
                <w:kern w:val="0"/>
                <w:sz w:val="18"/>
                <w:szCs w:val="18"/>
              </w:rPr>
              <w:t>5</w:t>
            </w:r>
            <w:r>
              <w:rPr>
                <w:rFonts w:hint="eastAsia" w:ascii="仿宋_GB2312" w:hAnsi="宋体" w:eastAsia="仿宋_GB2312"/>
                <w:b/>
                <w:kern w:val="0"/>
                <w:sz w:val="18"/>
                <w:szCs w:val="18"/>
              </w:rPr>
              <w:t>分）</w:t>
            </w:r>
          </w:p>
        </w:tc>
        <w:tc>
          <w:tcPr>
            <w:tcW w:w="1134" w:type="dxa"/>
            <w:gridSpan w:val="2"/>
            <w:tcBorders>
              <w:top w:val="single" w:color="000000" w:sz="4" w:space="0"/>
              <w:left w:val="nil"/>
              <w:bottom w:val="single" w:color="000000" w:sz="4" w:space="0"/>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香气（</w:t>
            </w:r>
            <w:r>
              <w:rPr>
                <w:rFonts w:hint="eastAsia" w:ascii="仿宋_GB2312" w:eastAsia="仿宋_GB2312"/>
                <w:b/>
                <w:kern w:val="0"/>
                <w:sz w:val="18"/>
                <w:szCs w:val="18"/>
              </w:rPr>
              <w:t>35</w:t>
            </w:r>
            <w:r>
              <w:rPr>
                <w:rFonts w:hint="eastAsia" w:ascii="仿宋_GB2312" w:hAnsi="宋体" w:eastAsia="仿宋_GB2312"/>
                <w:b/>
                <w:kern w:val="0"/>
                <w:sz w:val="18"/>
                <w:szCs w:val="18"/>
              </w:rPr>
              <w:t>分）</w:t>
            </w:r>
          </w:p>
        </w:tc>
        <w:tc>
          <w:tcPr>
            <w:tcW w:w="1134" w:type="dxa"/>
            <w:gridSpan w:val="2"/>
            <w:tcBorders>
              <w:top w:val="single" w:color="000000" w:sz="4" w:space="0"/>
              <w:left w:val="nil"/>
              <w:bottom w:val="single" w:color="000000" w:sz="4" w:space="0"/>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汤色（</w:t>
            </w:r>
            <w:r>
              <w:rPr>
                <w:rFonts w:hint="eastAsia" w:ascii="仿宋_GB2312" w:eastAsia="仿宋_GB2312"/>
                <w:b/>
                <w:kern w:val="0"/>
                <w:sz w:val="18"/>
                <w:szCs w:val="18"/>
              </w:rPr>
              <w:t>10</w:t>
            </w:r>
            <w:r>
              <w:rPr>
                <w:rFonts w:hint="eastAsia" w:ascii="仿宋_GB2312" w:hAnsi="宋体" w:eastAsia="仿宋_GB2312"/>
                <w:b/>
                <w:kern w:val="0"/>
                <w:sz w:val="18"/>
                <w:szCs w:val="18"/>
              </w:rPr>
              <w:t>分）</w:t>
            </w:r>
          </w:p>
        </w:tc>
        <w:tc>
          <w:tcPr>
            <w:tcW w:w="1198" w:type="dxa"/>
            <w:gridSpan w:val="2"/>
            <w:tcBorders>
              <w:top w:val="single" w:color="000000" w:sz="4" w:space="0"/>
              <w:left w:val="nil"/>
              <w:bottom w:val="single" w:color="000000" w:sz="4" w:space="0"/>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滋味（</w:t>
            </w:r>
            <w:r>
              <w:rPr>
                <w:rFonts w:hint="eastAsia" w:ascii="仿宋_GB2312" w:eastAsia="仿宋_GB2312"/>
                <w:b/>
                <w:kern w:val="0"/>
                <w:sz w:val="18"/>
                <w:szCs w:val="18"/>
              </w:rPr>
              <w:t>30</w:t>
            </w:r>
            <w:r>
              <w:rPr>
                <w:rFonts w:hint="eastAsia" w:ascii="仿宋_GB2312" w:hAnsi="宋体" w:eastAsia="仿宋_GB2312"/>
                <w:b/>
                <w:kern w:val="0"/>
                <w:sz w:val="18"/>
                <w:szCs w:val="18"/>
              </w:rPr>
              <w:t>分）</w:t>
            </w:r>
          </w:p>
        </w:tc>
        <w:tc>
          <w:tcPr>
            <w:tcW w:w="1134" w:type="dxa"/>
            <w:gridSpan w:val="2"/>
            <w:tcBorders>
              <w:top w:val="single" w:color="000000" w:sz="4" w:space="0"/>
              <w:left w:val="nil"/>
              <w:bottom w:val="single" w:color="000000" w:sz="4" w:space="0"/>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叶底（</w:t>
            </w:r>
            <w:r>
              <w:rPr>
                <w:rFonts w:hint="eastAsia" w:ascii="仿宋_GB2312" w:eastAsia="仿宋_GB2312"/>
                <w:b/>
                <w:kern w:val="0"/>
                <w:sz w:val="18"/>
                <w:szCs w:val="18"/>
              </w:rPr>
              <w:t>10</w:t>
            </w:r>
            <w:r>
              <w:rPr>
                <w:rFonts w:hint="eastAsia" w:ascii="仿宋_GB2312" w:hAnsi="宋体" w:eastAsia="仿宋_GB2312"/>
                <w:b/>
                <w:kern w:val="0"/>
                <w:sz w:val="18"/>
                <w:szCs w:val="18"/>
              </w:rPr>
              <w:t>分）</w:t>
            </w:r>
          </w:p>
        </w:tc>
        <w:tc>
          <w:tcPr>
            <w:tcW w:w="737"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eastAsia="仿宋_GB2312"/>
                <w:b/>
                <w:kern w:val="0"/>
                <w:sz w:val="18"/>
                <w:szCs w:val="18"/>
              </w:rPr>
            </w:pPr>
          </w:p>
        </w:tc>
        <w:tc>
          <w:tcPr>
            <w:tcW w:w="768"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eastAsia="仿宋_GB2312"/>
                <w:b/>
                <w:kern w:val="0"/>
                <w:sz w:val="18"/>
                <w:szCs w:val="18"/>
              </w:rPr>
            </w:pPr>
          </w:p>
        </w:tc>
      </w:tr>
      <w:tr>
        <w:tblPrEx>
          <w:tblCellMar>
            <w:top w:w="0" w:type="dxa"/>
            <w:left w:w="108" w:type="dxa"/>
            <w:bottom w:w="0" w:type="dxa"/>
            <w:right w:w="108" w:type="dxa"/>
          </w:tblCellMar>
        </w:tblPrEx>
        <w:trPr>
          <w:cantSplit/>
          <w:trHeight w:val="315" w:hRule="atLeast"/>
          <w:jc w:val="center"/>
        </w:trPr>
        <w:tc>
          <w:tcPr>
            <w:tcW w:w="122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eastAsia="仿宋_GB2312"/>
                <w:kern w:val="0"/>
                <w:sz w:val="18"/>
                <w:szCs w:val="18"/>
              </w:rPr>
            </w:pPr>
          </w:p>
        </w:tc>
        <w:tc>
          <w:tcPr>
            <w:tcW w:w="709"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评语</w:t>
            </w:r>
          </w:p>
        </w:tc>
        <w:tc>
          <w:tcPr>
            <w:tcW w:w="425"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评分</w:t>
            </w:r>
          </w:p>
        </w:tc>
        <w:tc>
          <w:tcPr>
            <w:tcW w:w="709"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评语</w:t>
            </w:r>
          </w:p>
        </w:tc>
        <w:tc>
          <w:tcPr>
            <w:tcW w:w="425"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评分</w:t>
            </w:r>
          </w:p>
        </w:tc>
        <w:tc>
          <w:tcPr>
            <w:tcW w:w="709"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评语</w:t>
            </w:r>
          </w:p>
        </w:tc>
        <w:tc>
          <w:tcPr>
            <w:tcW w:w="567"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评分</w:t>
            </w:r>
          </w:p>
        </w:tc>
        <w:tc>
          <w:tcPr>
            <w:tcW w:w="708"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评语</w:t>
            </w:r>
          </w:p>
        </w:tc>
        <w:tc>
          <w:tcPr>
            <w:tcW w:w="426"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评分</w:t>
            </w:r>
          </w:p>
        </w:tc>
        <w:tc>
          <w:tcPr>
            <w:tcW w:w="708"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评语</w:t>
            </w:r>
          </w:p>
        </w:tc>
        <w:tc>
          <w:tcPr>
            <w:tcW w:w="426"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评分</w:t>
            </w:r>
          </w:p>
        </w:tc>
        <w:tc>
          <w:tcPr>
            <w:tcW w:w="708"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评语</w:t>
            </w:r>
          </w:p>
        </w:tc>
        <w:tc>
          <w:tcPr>
            <w:tcW w:w="490"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评分</w:t>
            </w:r>
          </w:p>
        </w:tc>
        <w:tc>
          <w:tcPr>
            <w:tcW w:w="708"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评语</w:t>
            </w:r>
          </w:p>
        </w:tc>
        <w:tc>
          <w:tcPr>
            <w:tcW w:w="426" w:type="dxa"/>
            <w:tcBorders>
              <w:top w:val="nil"/>
              <w:left w:val="nil"/>
              <w:bottom w:val="nil"/>
              <w:right w:val="single" w:color="000000" w:sz="4" w:space="0"/>
            </w:tcBorders>
            <w:shd w:val="clear" w:color="auto" w:fill="auto"/>
            <w:vAlign w:val="bottom"/>
          </w:tcPr>
          <w:p>
            <w:pPr>
              <w:widowControl/>
              <w:jc w:val="center"/>
              <w:rPr>
                <w:rFonts w:ascii="仿宋_GB2312" w:eastAsia="仿宋_GB2312"/>
                <w:b/>
                <w:kern w:val="0"/>
                <w:sz w:val="18"/>
                <w:szCs w:val="18"/>
              </w:rPr>
            </w:pPr>
            <w:r>
              <w:rPr>
                <w:rFonts w:hint="eastAsia" w:ascii="仿宋_GB2312" w:hAnsi="宋体" w:eastAsia="仿宋_GB2312"/>
                <w:b/>
                <w:kern w:val="0"/>
                <w:sz w:val="18"/>
                <w:szCs w:val="18"/>
              </w:rPr>
              <w:t>评分</w:t>
            </w:r>
          </w:p>
        </w:tc>
        <w:tc>
          <w:tcPr>
            <w:tcW w:w="737"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eastAsia="仿宋_GB2312"/>
                <w:b/>
                <w:kern w:val="0"/>
                <w:sz w:val="18"/>
                <w:szCs w:val="18"/>
              </w:rPr>
            </w:pPr>
          </w:p>
        </w:tc>
        <w:tc>
          <w:tcPr>
            <w:tcW w:w="768"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eastAsia="仿宋_GB2312"/>
                <w:b/>
                <w:kern w:val="0"/>
                <w:sz w:val="18"/>
                <w:szCs w:val="18"/>
              </w:rPr>
            </w:pPr>
          </w:p>
        </w:tc>
      </w:tr>
      <w:tr>
        <w:tblPrEx>
          <w:tblCellMar>
            <w:top w:w="0" w:type="dxa"/>
            <w:left w:w="108" w:type="dxa"/>
            <w:bottom w:w="0" w:type="dxa"/>
            <w:right w:w="108" w:type="dxa"/>
          </w:tblCellMar>
        </w:tblPrEx>
        <w:trPr>
          <w:cantSplit/>
          <w:trHeight w:val="510" w:hRule="atLeast"/>
          <w:jc w:val="center"/>
        </w:trPr>
        <w:tc>
          <w:tcPr>
            <w:tcW w:w="1225"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CK</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条形紧结</w:t>
            </w:r>
          </w:p>
        </w:tc>
        <w:tc>
          <w:tcPr>
            <w:tcW w:w="425"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w:t>
            </w:r>
          </w:p>
        </w:tc>
        <w:tc>
          <w:tcPr>
            <w:tcW w:w="709"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w:t>
            </w:r>
          </w:p>
        </w:tc>
        <w:tc>
          <w:tcPr>
            <w:tcW w:w="425"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7</w:t>
            </w:r>
          </w:p>
        </w:tc>
        <w:tc>
          <w:tcPr>
            <w:tcW w:w="709"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匀齐</w:t>
            </w:r>
          </w:p>
        </w:tc>
        <w:tc>
          <w:tcPr>
            <w:tcW w:w="567"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火香</w:t>
            </w:r>
          </w:p>
        </w:tc>
        <w:tc>
          <w:tcPr>
            <w:tcW w:w="426"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28</w:t>
            </w:r>
          </w:p>
        </w:tc>
        <w:tc>
          <w:tcPr>
            <w:tcW w:w="70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深绿</w:t>
            </w:r>
          </w:p>
        </w:tc>
        <w:tc>
          <w:tcPr>
            <w:tcW w:w="426" w:type="dxa"/>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仿宋_GB2312" w:eastAsia="仿宋_GB2312"/>
                <w:kern w:val="0"/>
                <w:sz w:val="18"/>
                <w:szCs w:val="18"/>
              </w:rPr>
            </w:pPr>
            <w:r>
              <w:rPr>
                <w:rFonts w:hint="eastAsia" w:ascii="仿宋_GB2312" w:eastAsia="仿宋_GB2312"/>
                <w:kern w:val="0"/>
                <w:sz w:val="18"/>
                <w:szCs w:val="18"/>
              </w:rPr>
              <w:t>5</w:t>
            </w:r>
          </w:p>
        </w:tc>
        <w:tc>
          <w:tcPr>
            <w:tcW w:w="70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甘醇、少涩</w:t>
            </w:r>
          </w:p>
        </w:tc>
        <w:tc>
          <w:tcPr>
            <w:tcW w:w="490"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6</w:t>
            </w:r>
          </w:p>
        </w:tc>
        <w:tc>
          <w:tcPr>
            <w:tcW w:w="70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w:t>
            </w:r>
          </w:p>
        </w:tc>
        <w:tc>
          <w:tcPr>
            <w:tcW w:w="426"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7</w:t>
            </w:r>
          </w:p>
        </w:tc>
        <w:tc>
          <w:tcPr>
            <w:tcW w:w="737"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65</w:t>
            </w:r>
          </w:p>
        </w:tc>
        <w:tc>
          <w:tcPr>
            <w:tcW w:w="76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w:t>
            </w:r>
          </w:p>
        </w:tc>
      </w:tr>
      <w:tr>
        <w:tblPrEx>
          <w:tblCellMar>
            <w:top w:w="0" w:type="dxa"/>
            <w:left w:w="108" w:type="dxa"/>
            <w:bottom w:w="0" w:type="dxa"/>
            <w:right w:w="108" w:type="dxa"/>
          </w:tblCellMar>
        </w:tblPrEx>
        <w:trPr>
          <w:cantSplit/>
          <w:trHeight w:val="510" w:hRule="atLeast"/>
          <w:jc w:val="center"/>
        </w:trPr>
        <w:tc>
          <w:tcPr>
            <w:tcW w:w="1225" w:type="dxa"/>
            <w:tcBorders>
              <w:top w:val="nil"/>
              <w:left w:val="single" w:color="000000" w:sz="4" w:space="0"/>
              <w:bottom w:val="single" w:color="000000" w:sz="4" w:space="0"/>
              <w:right w:val="nil"/>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B150</w:t>
            </w:r>
          </w:p>
        </w:tc>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紧结、形状较好</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匀齐</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栗香</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深黄明亮</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6</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醇、厚</w:t>
            </w:r>
          </w:p>
        </w:tc>
        <w:tc>
          <w:tcPr>
            <w:tcW w:w="490"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25</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较嫩绿</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w:t>
            </w:r>
          </w:p>
        </w:tc>
        <w:tc>
          <w:tcPr>
            <w:tcW w:w="73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80</w:t>
            </w:r>
          </w:p>
        </w:tc>
        <w:tc>
          <w:tcPr>
            <w:tcW w:w="76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r>
      <w:tr>
        <w:tblPrEx>
          <w:tblCellMar>
            <w:top w:w="0" w:type="dxa"/>
            <w:left w:w="108" w:type="dxa"/>
            <w:bottom w:w="0" w:type="dxa"/>
            <w:right w:w="108" w:type="dxa"/>
          </w:tblCellMar>
        </w:tblPrEx>
        <w:trPr>
          <w:cantSplit/>
          <w:trHeight w:val="510" w:hRule="atLeast"/>
          <w:jc w:val="center"/>
        </w:trPr>
        <w:tc>
          <w:tcPr>
            <w:tcW w:w="1225" w:type="dxa"/>
            <w:tcBorders>
              <w:top w:val="nil"/>
              <w:left w:val="single" w:color="000000" w:sz="4" w:space="0"/>
              <w:bottom w:val="single" w:color="000000" w:sz="4" w:space="0"/>
              <w:right w:val="nil"/>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B300</w:t>
            </w:r>
          </w:p>
        </w:tc>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稍粗条形</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匀齐</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嫩香</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27</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黄绿明亮</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甘醇、少涩</w:t>
            </w:r>
          </w:p>
        </w:tc>
        <w:tc>
          <w:tcPr>
            <w:tcW w:w="490"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26</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6</w:t>
            </w:r>
          </w:p>
        </w:tc>
        <w:tc>
          <w:tcPr>
            <w:tcW w:w="73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76</w:t>
            </w:r>
          </w:p>
        </w:tc>
        <w:tc>
          <w:tcPr>
            <w:tcW w:w="76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6</w:t>
            </w:r>
          </w:p>
        </w:tc>
      </w:tr>
      <w:tr>
        <w:tblPrEx>
          <w:tblCellMar>
            <w:top w:w="0" w:type="dxa"/>
            <w:left w:w="108" w:type="dxa"/>
            <w:bottom w:w="0" w:type="dxa"/>
            <w:right w:w="108" w:type="dxa"/>
          </w:tblCellMar>
        </w:tblPrEx>
        <w:trPr>
          <w:cantSplit/>
          <w:trHeight w:val="510" w:hRule="atLeast"/>
          <w:jc w:val="center"/>
        </w:trPr>
        <w:tc>
          <w:tcPr>
            <w:tcW w:w="1225" w:type="dxa"/>
            <w:tcBorders>
              <w:top w:val="nil"/>
              <w:left w:val="single" w:color="000000" w:sz="4" w:space="0"/>
              <w:bottom w:val="single" w:color="000000" w:sz="4" w:space="0"/>
              <w:right w:val="nil"/>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Se15</w:t>
            </w:r>
          </w:p>
        </w:tc>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一芽二叶</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匀齐</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高爽花香</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32</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黄绿明亮</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6</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尚醇、少涩</w:t>
            </w:r>
          </w:p>
        </w:tc>
        <w:tc>
          <w:tcPr>
            <w:tcW w:w="490"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较嫩绿</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w:t>
            </w:r>
          </w:p>
        </w:tc>
        <w:tc>
          <w:tcPr>
            <w:tcW w:w="73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76</w:t>
            </w:r>
          </w:p>
        </w:tc>
        <w:tc>
          <w:tcPr>
            <w:tcW w:w="76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6</w:t>
            </w:r>
          </w:p>
        </w:tc>
      </w:tr>
      <w:tr>
        <w:tblPrEx>
          <w:tblCellMar>
            <w:top w:w="0" w:type="dxa"/>
            <w:left w:w="108" w:type="dxa"/>
            <w:bottom w:w="0" w:type="dxa"/>
            <w:right w:w="108" w:type="dxa"/>
          </w:tblCellMar>
        </w:tblPrEx>
        <w:trPr>
          <w:cantSplit/>
          <w:trHeight w:val="315" w:hRule="atLeast"/>
          <w:jc w:val="center"/>
        </w:trPr>
        <w:tc>
          <w:tcPr>
            <w:tcW w:w="1225" w:type="dxa"/>
            <w:tcBorders>
              <w:top w:val="nil"/>
              <w:left w:val="single" w:color="000000" w:sz="4" w:space="0"/>
              <w:bottom w:val="single" w:color="000000" w:sz="4" w:space="0"/>
              <w:right w:val="nil"/>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ZYW</w:t>
            </w:r>
          </w:p>
        </w:tc>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条形紧结</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深绿</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匀齐</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栗香</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28</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黄绿明亮</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7</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甘醇、厚</w:t>
            </w:r>
          </w:p>
        </w:tc>
        <w:tc>
          <w:tcPr>
            <w:tcW w:w="490"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27</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较青绿</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7</w:t>
            </w:r>
          </w:p>
        </w:tc>
        <w:tc>
          <w:tcPr>
            <w:tcW w:w="73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81</w:t>
            </w:r>
          </w:p>
        </w:tc>
        <w:tc>
          <w:tcPr>
            <w:tcW w:w="76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r>
      <w:tr>
        <w:tblPrEx>
          <w:tblCellMar>
            <w:top w:w="0" w:type="dxa"/>
            <w:left w:w="108" w:type="dxa"/>
            <w:bottom w:w="0" w:type="dxa"/>
            <w:right w:w="108" w:type="dxa"/>
          </w:tblCellMar>
        </w:tblPrEx>
        <w:trPr>
          <w:cantSplit/>
          <w:trHeight w:val="510" w:hRule="atLeast"/>
          <w:jc w:val="center"/>
        </w:trPr>
        <w:tc>
          <w:tcPr>
            <w:tcW w:w="1225" w:type="dxa"/>
            <w:tcBorders>
              <w:top w:val="nil"/>
              <w:left w:val="single" w:color="000000" w:sz="4" w:space="0"/>
              <w:bottom w:val="single" w:color="000000" w:sz="4" w:space="0"/>
              <w:right w:val="nil"/>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ZYW-B150</w:t>
            </w:r>
          </w:p>
        </w:tc>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稍粗条形</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匀齐</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嫩香</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32</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浅绿明亮</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9</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鲜醇、厚滑</w:t>
            </w:r>
          </w:p>
        </w:tc>
        <w:tc>
          <w:tcPr>
            <w:tcW w:w="490"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29</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较嫩绿</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w:t>
            </w:r>
          </w:p>
        </w:tc>
        <w:tc>
          <w:tcPr>
            <w:tcW w:w="73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88</w:t>
            </w:r>
          </w:p>
        </w:tc>
        <w:tc>
          <w:tcPr>
            <w:tcW w:w="76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1</w:t>
            </w:r>
          </w:p>
        </w:tc>
      </w:tr>
      <w:tr>
        <w:tblPrEx>
          <w:tblCellMar>
            <w:top w:w="0" w:type="dxa"/>
            <w:left w:w="108" w:type="dxa"/>
            <w:bottom w:w="0" w:type="dxa"/>
            <w:right w:w="108" w:type="dxa"/>
          </w:tblCellMar>
        </w:tblPrEx>
        <w:trPr>
          <w:cantSplit/>
          <w:trHeight w:val="510" w:hRule="atLeast"/>
          <w:jc w:val="center"/>
        </w:trPr>
        <w:tc>
          <w:tcPr>
            <w:tcW w:w="1225" w:type="dxa"/>
            <w:tcBorders>
              <w:top w:val="nil"/>
              <w:left w:val="single" w:color="000000" w:sz="4" w:space="0"/>
              <w:bottom w:val="single" w:color="000000" w:sz="4" w:space="0"/>
              <w:right w:val="nil"/>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ZYW-B300</w:t>
            </w:r>
          </w:p>
        </w:tc>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条形稍粗</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匀齐</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栗香</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28</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黄绿明亮</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鲜醇、厚甘</w:t>
            </w:r>
          </w:p>
        </w:tc>
        <w:tc>
          <w:tcPr>
            <w:tcW w:w="490"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28</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较青绿</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9</w:t>
            </w:r>
          </w:p>
        </w:tc>
        <w:tc>
          <w:tcPr>
            <w:tcW w:w="73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84</w:t>
            </w:r>
          </w:p>
        </w:tc>
        <w:tc>
          <w:tcPr>
            <w:tcW w:w="76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w:t>
            </w:r>
          </w:p>
        </w:tc>
      </w:tr>
      <w:tr>
        <w:tblPrEx>
          <w:tblCellMar>
            <w:top w:w="0" w:type="dxa"/>
            <w:left w:w="108" w:type="dxa"/>
            <w:bottom w:w="0" w:type="dxa"/>
            <w:right w:w="108" w:type="dxa"/>
          </w:tblCellMar>
        </w:tblPrEx>
        <w:trPr>
          <w:cantSplit/>
          <w:trHeight w:val="510" w:hRule="atLeast"/>
          <w:jc w:val="center"/>
        </w:trPr>
        <w:tc>
          <w:tcPr>
            <w:tcW w:w="1225" w:type="dxa"/>
            <w:tcBorders>
              <w:top w:val="nil"/>
              <w:left w:val="single" w:color="000000" w:sz="4" w:space="0"/>
              <w:bottom w:val="single" w:color="000000" w:sz="4" w:space="0"/>
              <w:right w:val="nil"/>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ZYW-Se15</w:t>
            </w:r>
          </w:p>
        </w:tc>
        <w:tc>
          <w:tcPr>
            <w:tcW w:w="709"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条形稍粗</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黄绿</w:t>
            </w:r>
          </w:p>
        </w:tc>
        <w:tc>
          <w:tcPr>
            <w:tcW w:w="425"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3</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匀齐</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4</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栗香</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27</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浅绿明亮</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8</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鲜爽、甘醇</w:t>
            </w:r>
          </w:p>
        </w:tc>
        <w:tc>
          <w:tcPr>
            <w:tcW w:w="490"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26</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较青绿</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7</w:t>
            </w:r>
          </w:p>
        </w:tc>
        <w:tc>
          <w:tcPr>
            <w:tcW w:w="737"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78</w:t>
            </w:r>
          </w:p>
        </w:tc>
        <w:tc>
          <w:tcPr>
            <w:tcW w:w="768" w:type="dxa"/>
            <w:tcBorders>
              <w:top w:val="nil"/>
              <w:left w:val="nil"/>
              <w:bottom w:val="single" w:color="000000" w:sz="4" w:space="0"/>
              <w:right w:val="single" w:color="000000" w:sz="4" w:space="0"/>
            </w:tcBorders>
            <w:shd w:val="clear" w:color="auto" w:fill="auto"/>
            <w:vAlign w:val="center"/>
          </w:tcPr>
          <w:p>
            <w:pPr>
              <w:widowControl/>
              <w:jc w:val="center"/>
              <w:rPr>
                <w:rFonts w:ascii="仿宋_GB2312" w:eastAsia="仿宋_GB2312"/>
                <w:kern w:val="0"/>
                <w:sz w:val="18"/>
                <w:szCs w:val="18"/>
              </w:rPr>
            </w:pPr>
            <w:r>
              <w:rPr>
                <w:rFonts w:hint="eastAsia" w:ascii="仿宋_GB2312" w:eastAsia="仿宋_GB2312"/>
                <w:kern w:val="0"/>
                <w:sz w:val="18"/>
                <w:szCs w:val="18"/>
              </w:rPr>
              <w:t>5</w:t>
            </w:r>
          </w:p>
        </w:tc>
      </w:tr>
    </w:tbl>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六、国内外同类标准制修订情况及与法律法规、强制性标准关系</w:t>
      </w:r>
    </w:p>
    <w:p>
      <w:pPr>
        <w:ind w:firstLine="560" w:firstLineChars="200"/>
        <w:rPr>
          <w:rFonts w:ascii="仿宋_GB2312" w:hAnsi="宋体" w:eastAsia="仿宋_GB2312"/>
          <w:sz w:val="28"/>
          <w:szCs w:val="32"/>
          <w:highlight w:val="yellow"/>
          <w:lang w:val="zh-CN"/>
        </w:rPr>
      </w:pPr>
      <w:r>
        <w:rPr>
          <w:rFonts w:hint="eastAsia" w:ascii="仿宋_GB2312" w:hAnsi="宋体" w:eastAsia="仿宋_GB2312"/>
          <w:sz w:val="28"/>
          <w:szCs w:val="32"/>
          <w:lang w:val="zh-CN"/>
        </w:rPr>
        <w:t>经查阅，国内与茶叶生产有关的国家、行业及地方标准有：</w:t>
      </w:r>
      <w:r>
        <w:rPr>
          <w:rFonts w:hint="eastAsia" w:ascii="仿宋_GB2312" w:hAnsi="宋体" w:eastAsia="仿宋_GB2312"/>
          <w:sz w:val="28"/>
          <w:szCs w:val="32"/>
        </w:rPr>
        <w:t>GB/Z 26576《茶叶生产技术规范》、GH/T 1076《茶叶生产技术规程》、NY/T 5018《茶叶生产技术规程》、DB45/T 389《有机茶生产技术规程》、DB45/T 1167《桂绿1号茶树品种栽培技术规程》、D45/T  1243《茶树主要病虫害绿色防控技术规程》、DB45/T 1389《富硒茶栽培技术规程》、DB45/T 2247《有机茶园绿肥栽培技术规程》</w:t>
      </w:r>
      <w:r>
        <w:rPr>
          <w:rFonts w:hint="eastAsia" w:ascii="仿宋_GB2312" w:hAnsi="宋体" w:eastAsia="仿宋_GB2312"/>
          <w:sz w:val="28"/>
          <w:szCs w:val="32"/>
          <w:lang w:val="zh-CN"/>
        </w:rPr>
        <w:t>。以上标准涉及茶叶常规种植及富硒生产，但未针对广西茶区生产实际对夏茶生产进行指导，在富硒生产中硒素管理粗狂，操作性就差，不能满足对</w:t>
      </w:r>
      <w:r>
        <w:rPr>
          <w:rFonts w:hint="eastAsia" w:ascii="仿宋_GB2312" w:hAnsi="宋体" w:eastAsia="仿宋_GB2312"/>
          <w:sz w:val="28"/>
          <w:szCs w:val="32"/>
        </w:rPr>
        <w:t>广西富硒区夏茶品质提升栽培</w:t>
      </w:r>
      <w:r>
        <w:rPr>
          <w:rFonts w:hint="eastAsia" w:ascii="仿宋_GB2312" w:hAnsi="宋体" w:eastAsia="仿宋_GB2312"/>
          <w:sz w:val="28"/>
          <w:szCs w:val="32"/>
          <w:lang w:val="zh-CN"/>
        </w:rPr>
        <w:t>的指导。</w:t>
      </w:r>
    </w:p>
    <w:p>
      <w:pPr>
        <w:ind w:firstLine="560" w:firstLineChars="200"/>
        <w:rPr>
          <w:rFonts w:ascii="仿宋_GB2312" w:hAnsi="宋体" w:eastAsia="仿宋_GB2312"/>
          <w:sz w:val="28"/>
          <w:szCs w:val="32"/>
        </w:rPr>
      </w:pPr>
      <w:r>
        <w:rPr>
          <w:rFonts w:hint="eastAsia" w:ascii="仿宋_GB2312" w:hAnsi="宋体" w:eastAsia="仿宋_GB2312"/>
          <w:sz w:val="28"/>
          <w:szCs w:val="32"/>
          <w:lang w:val="zh-CN"/>
        </w:rPr>
        <w:t>本标准的内容与现行的法律、法规及强制性标准无冲突，标准的编写符合</w:t>
      </w:r>
      <w:r>
        <w:rPr>
          <w:rFonts w:hint="eastAsia" w:ascii="仿宋_GB2312" w:hAnsi="宋体" w:eastAsia="仿宋_GB2312"/>
          <w:sz w:val="28"/>
          <w:szCs w:val="32"/>
        </w:rPr>
        <w:t>GB/T 1.1-2020的要求。</w:t>
      </w:r>
    </w:p>
    <w:p>
      <w:pPr>
        <w:spacing w:line="60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七、重大分歧意见发处理经过和依据</w:t>
      </w:r>
    </w:p>
    <w:p>
      <w:pPr>
        <w:spacing w:line="520" w:lineRule="exact"/>
        <w:ind w:firstLine="560" w:firstLineChars="200"/>
        <w:rPr>
          <w:rFonts w:ascii="仿宋_GB2312" w:hAnsi="宋体" w:eastAsia="仿宋_GB2312"/>
          <w:sz w:val="28"/>
          <w:szCs w:val="32"/>
        </w:rPr>
      </w:pPr>
      <w:r>
        <w:rPr>
          <w:rFonts w:hint="eastAsia" w:ascii="仿宋_GB2312" w:hAnsi="宋体" w:eastAsia="仿宋_GB2312"/>
          <w:sz w:val="28"/>
          <w:szCs w:val="32"/>
        </w:rPr>
        <w:t>本标准研制过程中无重大分歧意见。</w:t>
      </w:r>
    </w:p>
    <w:p>
      <w:pPr>
        <w:spacing w:line="520" w:lineRule="exact"/>
        <w:ind w:firstLine="560" w:firstLineChars="200"/>
        <w:rPr>
          <w:rFonts w:ascii="仿宋_GB2312" w:hAnsi="宋体" w:eastAsia="仿宋_GB2312"/>
          <w:sz w:val="28"/>
          <w:szCs w:val="32"/>
          <w:lang w:val="zh-CN"/>
        </w:rPr>
      </w:pPr>
    </w:p>
    <w:p>
      <w:pPr>
        <w:spacing w:line="520" w:lineRule="exact"/>
        <w:ind w:firstLine="560" w:firstLineChars="200"/>
        <w:rPr>
          <w:rFonts w:ascii="仿宋_GB2312" w:hAnsi="宋体" w:eastAsia="仿宋_GB2312"/>
          <w:sz w:val="28"/>
          <w:szCs w:val="32"/>
          <w:lang w:val="zh-CN"/>
        </w:rPr>
      </w:pPr>
    </w:p>
    <w:p>
      <w:pPr>
        <w:spacing w:line="520" w:lineRule="exact"/>
        <w:ind w:firstLine="560" w:firstLineChars="200"/>
        <w:rPr>
          <w:rFonts w:ascii="仿宋_GB2312" w:hAnsi="宋体" w:eastAsia="仿宋_GB2312"/>
          <w:sz w:val="28"/>
          <w:szCs w:val="32"/>
          <w:lang w:val="zh-CN"/>
        </w:rPr>
      </w:pPr>
      <w:r>
        <w:rPr>
          <w:rFonts w:hint="eastAsia" w:ascii="仿宋_GB2312" w:hAnsi="宋体" w:eastAsia="仿宋_GB2312"/>
          <w:sz w:val="28"/>
          <w:szCs w:val="32"/>
          <w:lang w:val="zh-CN"/>
        </w:rPr>
        <w:t xml:space="preserve">               团体标准 《富硒夏茶品质提升栽培技术规程》</w:t>
      </w:r>
    </w:p>
    <w:p>
      <w:pPr>
        <w:spacing w:line="520" w:lineRule="exact"/>
        <w:ind w:firstLine="5460" w:firstLineChars="1950"/>
        <w:rPr>
          <w:rFonts w:ascii="仿宋_GB2312" w:hAnsi="宋体" w:eastAsia="仿宋_GB2312"/>
          <w:sz w:val="28"/>
          <w:szCs w:val="32"/>
          <w:lang w:val="zh-CN"/>
        </w:rPr>
      </w:pPr>
      <w:r>
        <w:rPr>
          <w:rFonts w:hint="eastAsia" w:ascii="仿宋_GB2312" w:hAnsi="宋体" w:eastAsia="仿宋_GB2312"/>
          <w:sz w:val="28"/>
          <w:szCs w:val="32"/>
          <w:lang w:val="zh-CN"/>
        </w:rPr>
        <w:t>标准编制小组</w:t>
      </w:r>
    </w:p>
    <w:p>
      <w:pPr>
        <w:spacing w:line="520" w:lineRule="exact"/>
        <w:ind w:firstLine="560" w:firstLineChars="200"/>
        <w:rPr>
          <w:rFonts w:ascii="仿宋_GB2312" w:hAnsi="宋体" w:eastAsia="仿宋_GB2312"/>
          <w:sz w:val="28"/>
          <w:szCs w:val="32"/>
        </w:rPr>
      </w:pPr>
      <w:r>
        <w:rPr>
          <w:rFonts w:hint="eastAsia" w:ascii="仿宋_GB2312" w:hAnsi="宋体" w:eastAsia="仿宋_GB2312"/>
          <w:sz w:val="28"/>
          <w:szCs w:val="32"/>
          <w:lang w:val="zh-CN"/>
        </w:rPr>
        <w:t xml:space="preserve">                                 </w:t>
      </w:r>
      <w:r>
        <w:rPr>
          <w:rFonts w:hint="eastAsia" w:ascii="仿宋_GB2312" w:hAnsi="宋体" w:eastAsia="仿宋_GB2312"/>
          <w:sz w:val="28"/>
          <w:szCs w:val="32"/>
        </w:rPr>
        <w:t>2021</w:t>
      </w:r>
      <w:r>
        <w:rPr>
          <w:rFonts w:hint="eastAsia" w:ascii="仿宋_GB2312" w:hAnsi="宋体" w:eastAsia="仿宋_GB2312"/>
          <w:sz w:val="28"/>
          <w:szCs w:val="32"/>
          <w:lang w:val="zh-CN"/>
        </w:rPr>
        <w:t>年</w:t>
      </w:r>
      <w:r>
        <w:rPr>
          <w:rFonts w:hint="eastAsia" w:ascii="仿宋_GB2312" w:hAnsi="宋体" w:eastAsia="仿宋_GB2312"/>
          <w:sz w:val="28"/>
          <w:szCs w:val="32"/>
        </w:rPr>
        <w:t>08</w:t>
      </w:r>
      <w:r>
        <w:rPr>
          <w:rFonts w:hint="eastAsia" w:ascii="仿宋_GB2312" w:hAnsi="宋体" w:eastAsia="仿宋_GB2312"/>
          <w:sz w:val="28"/>
          <w:szCs w:val="32"/>
          <w:lang w:val="zh-CN"/>
        </w:rPr>
        <w:t>月</w:t>
      </w:r>
      <w:r>
        <w:rPr>
          <w:rFonts w:hint="eastAsia" w:ascii="仿宋_GB2312" w:hAnsi="宋体" w:eastAsia="仿宋_GB2312"/>
          <w:sz w:val="28"/>
          <w:szCs w:val="32"/>
        </w:rPr>
        <w:t>0</w:t>
      </w:r>
      <w:r>
        <w:rPr>
          <w:rFonts w:hint="eastAsia" w:ascii="仿宋_GB2312" w:hAnsi="宋体" w:eastAsia="仿宋_GB2312"/>
          <w:sz w:val="28"/>
          <w:szCs w:val="32"/>
          <w:lang w:val="en-US" w:eastAsia="zh-CN"/>
        </w:rPr>
        <w:t>1</w:t>
      </w:r>
      <w:bookmarkStart w:id="1" w:name="_GoBack"/>
      <w:bookmarkEnd w:id="1"/>
      <w:r>
        <w:rPr>
          <w:rFonts w:hint="eastAsia" w:ascii="仿宋_GB2312" w:hAnsi="宋体" w:eastAsia="仿宋_GB2312"/>
          <w:sz w:val="28"/>
          <w:szCs w:val="32"/>
        </w:rPr>
        <w:t>日</w:t>
      </w:r>
    </w:p>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pStyle w:val="22"/>
      <w:suff w:val="nothing"/>
      <w:lvlText w:val="%1"/>
      <w:lvlJc w:val="left"/>
      <w:pPr>
        <w:ind w:left="0" w:firstLine="0"/>
      </w:pPr>
      <w:rPr>
        <w:rFonts w:hint="eastAsia"/>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pStyle w:val="2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6"/>
      <w:suff w:val="nothing"/>
      <w:lvlText w:val="%1%2.%3.%4　"/>
      <w:lvlJc w:val="left"/>
      <w:pPr>
        <w:ind w:left="0" w:firstLine="0"/>
      </w:pPr>
      <w:rPr>
        <w:rFonts w:hint="eastAsia" w:ascii="黑体" w:eastAsia="黑体"/>
        <w:b w:val="0"/>
        <w:i w:val="0"/>
        <w:sz w:val="21"/>
      </w:rPr>
    </w:lvl>
    <w:lvl w:ilvl="4" w:tentative="0">
      <w:start w:val="1"/>
      <w:numFmt w:val="decimal"/>
      <w:pStyle w:val="17"/>
      <w:suff w:val="nothing"/>
      <w:lvlText w:val="%1%2.%3.%4.%5　"/>
      <w:lvlJc w:val="left"/>
      <w:pPr>
        <w:ind w:left="0" w:firstLine="0"/>
      </w:pPr>
      <w:rPr>
        <w:rFonts w:hint="eastAsia" w:ascii="黑体" w:eastAsia="黑体"/>
        <w:b w:val="0"/>
        <w:i w:val="0"/>
        <w:sz w:val="21"/>
      </w:rPr>
    </w:lvl>
    <w:lvl w:ilvl="5" w:tentative="0">
      <w:start w:val="1"/>
      <w:numFmt w:val="decimal"/>
      <w:pStyle w:val="18"/>
      <w:suff w:val="nothing"/>
      <w:lvlText w:val="%1%2.%3.%4.%5.%6　"/>
      <w:lvlJc w:val="left"/>
      <w:pPr>
        <w:ind w:left="0" w:firstLine="0"/>
      </w:pPr>
      <w:rPr>
        <w:rFonts w:hint="eastAsia" w:ascii="黑体" w:eastAsia="黑体"/>
        <w:b w:val="0"/>
        <w:i w:val="0"/>
        <w:sz w:val="21"/>
      </w:rPr>
    </w:lvl>
    <w:lvl w:ilvl="6" w:tentative="0">
      <w:start w:val="1"/>
      <w:numFmt w:val="decimal"/>
      <w:pStyle w:val="1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F40A7A"/>
    <w:rsid w:val="00027A10"/>
    <w:rsid w:val="00031C67"/>
    <w:rsid w:val="00045D6D"/>
    <w:rsid w:val="00057AD3"/>
    <w:rsid w:val="00072AE1"/>
    <w:rsid w:val="00095094"/>
    <w:rsid w:val="000A029B"/>
    <w:rsid w:val="000B6BB6"/>
    <w:rsid w:val="000C7B94"/>
    <w:rsid w:val="000D4AA2"/>
    <w:rsid w:val="000D5D37"/>
    <w:rsid w:val="000E053A"/>
    <w:rsid w:val="000E68F4"/>
    <w:rsid w:val="000E6DEA"/>
    <w:rsid w:val="000F124B"/>
    <w:rsid w:val="00106E48"/>
    <w:rsid w:val="001074C4"/>
    <w:rsid w:val="00113C15"/>
    <w:rsid w:val="00113EE6"/>
    <w:rsid w:val="0011771D"/>
    <w:rsid w:val="001240E5"/>
    <w:rsid w:val="00151C6D"/>
    <w:rsid w:val="001670A9"/>
    <w:rsid w:val="0017654D"/>
    <w:rsid w:val="001A2C3B"/>
    <w:rsid w:val="001A5698"/>
    <w:rsid w:val="001C2136"/>
    <w:rsid w:val="001C586F"/>
    <w:rsid w:val="001E00D8"/>
    <w:rsid w:val="001E0818"/>
    <w:rsid w:val="001E2028"/>
    <w:rsid w:val="00205A58"/>
    <w:rsid w:val="00224C22"/>
    <w:rsid w:val="0022611B"/>
    <w:rsid w:val="00231E6D"/>
    <w:rsid w:val="002324AB"/>
    <w:rsid w:val="002374FC"/>
    <w:rsid w:val="00240DD0"/>
    <w:rsid w:val="002460C5"/>
    <w:rsid w:val="00252327"/>
    <w:rsid w:val="0025708A"/>
    <w:rsid w:val="00265259"/>
    <w:rsid w:val="00266137"/>
    <w:rsid w:val="002A7EEE"/>
    <w:rsid w:val="002B656B"/>
    <w:rsid w:val="002C18A8"/>
    <w:rsid w:val="002D6E7D"/>
    <w:rsid w:val="002D7CF5"/>
    <w:rsid w:val="00305AE4"/>
    <w:rsid w:val="0030658C"/>
    <w:rsid w:val="00313F60"/>
    <w:rsid w:val="00332CD2"/>
    <w:rsid w:val="0033374E"/>
    <w:rsid w:val="0033381E"/>
    <w:rsid w:val="00371733"/>
    <w:rsid w:val="003855F8"/>
    <w:rsid w:val="003D593D"/>
    <w:rsid w:val="003E3F3F"/>
    <w:rsid w:val="003E3F52"/>
    <w:rsid w:val="003F6435"/>
    <w:rsid w:val="003F76C4"/>
    <w:rsid w:val="004057CB"/>
    <w:rsid w:val="004071AD"/>
    <w:rsid w:val="00423B26"/>
    <w:rsid w:val="00427AB0"/>
    <w:rsid w:val="00430FDB"/>
    <w:rsid w:val="004364E4"/>
    <w:rsid w:val="004427FE"/>
    <w:rsid w:val="00446864"/>
    <w:rsid w:val="004476EC"/>
    <w:rsid w:val="004714EA"/>
    <w:rsid w:val="00487AD3"/>
    <w:rsid w:val="00487CD5"/>
    <w:rsid w:val="004948F6"/>
    <w:rsid w:val="004A085B"/>
    <w:rsid w:val="004A469B"/>
    <w:rsid w:val="004C6A1C"/>
    <w:rsid w:val="00505174"/>
    <w:rsid w:val="005330A0"/>
    <w:rsid w:val="005334DC"/>
    <w:rsid w:val="00534C7A"/>
    <w:rsid w:val="00534E76"/>
    <w:rsid w:val="00543432"/>
    <w:rsid w:val="0055791F"/>
    <w:rsid w:val="00563A69"/>
    <w:rsid w:val="0056743C"/>
    <w:rsid w:val="00575CAC"/>
    <w:rsid w:val="005B1C23"/>
    <w:rsid w:val="005C01D0"/>
    <w:rsid w:val="005C4BA1"/>
    <w:rsid w:val="00603C54"/>
    <w:rsid w:val="00605579"/>
    <w:rsid w:val="006255F6"/>
    <w:rsid w:val="0062579B"/>
    <w:rsid w:val="006366FD"/>
    <w:rsid w:val="00667ED0"/>
    <w:rsid w:val="00696B76"/>
    <w:rsid w:val="006A4180"/>
    <w:rsid w:val="006A6C6E"/>
    <w:rsid w:val="006B0FCD"/>
    <w:rsid w:val="006B4F19"/>
    <w:rsid w:val="006C1EFD"/>
    <w:rsid w:val="006C2D86"/>
    <w:rsid w:val="006D0ABD"/>
    <w:rsid w:val="006D2529"/>
    <w:rsid w:val="006D26E6"/>
    <w:rsid w:val="006E7ADE"/>
    <w:rsid w:val="006F2021"/>
    <w:rsid w:val="00722D59"/>
    <w:rsid w:val="00734DC4"/>
    <w:rsid w:val="007464D8"/>
    <w:rsid w:val="007473CE"/>
    <w:rsid w:val="00750A1E"/>
    <w:rsid w:val="00756B7A"/>
    <w:rsid w:val="0077269F"/>
    <w:rsid w:val="00782D49"/>
    <w:rsid w:val="007C05E2"/>
    <w:rsid w:val="007C14D0"/>
    <w:rsid w:val="007C4BD4"/>
    <w:rsid w:val="007E01B5"/>
    <w:rsid w:val="007E7D5F"/>
    <w:rsid w:val="007F37EE"/>
    <w:rsid w:val="007F5AD7"/>
    <w:rsid w:val="00816C6C"/>
    <w:rsid w:val="00817D5D"/>
    <w:rsid w:val="008252D1"/>
    <w:rsid w:val="00827B75"/>
    <w:rsid w:val="008451F4"/>
    <w:rsid w:val="008507CD"/>
    <w:rsid w:val="00854E95"/>
    <w:rsid w:val="0087300C"/>
    <w:rsid w:val="00877AC9"/>
    <w:rsid w:val="008A137F"/>
    <w:rsid w:val="008A5EFE"/>
    <w:rsid w:val="008B6C66"/>
    <w:rsid w:val="008B75DD"/>
    <w:rsid w:val="008C6BD8"/>
    <w:rsid w:val="008D1373"/>
    <w:rsid w:val="008D4E14"/>
    <w:rsid w:val="008E2021"/>
    <w:rsid w:val="008F2DF4"/>
    <w:rsid w:val="008F2F90"/>
    <w:rsid w:val="00905603"/>
    <w:rsid w:val="009424BB"/>
    <w:rsid w:val="009671CA"/>
    <w:rsid w:val="00982BD5"/>
    <w:rsid w:val="00996C24"/>
    <w:rsid w:val="009B0913"/>
    <w:rsid w:val="009B62A8"/>
    <w:rsid w:val="009C3228"/>
    <w:rsid w:val="009D23FA"/>
    <w:rsid w:val="009D266B"/>
    <w:rsid w:val="009D4827"/>
    <w:rsid w:val="009E02E5"/>
    <w:rsid w:val="009E311D"/>
    <w:rsid w:val="00A231EE"/>
    <w:rsid w:val="00A32B67"/>
    <w:rsid w:val="00A53FCF"/>
    <w:rsid w:val="00A74EE5"/>
    <w:rsid w:val="00A775A4"/>
    <w:rsid w:val="00AB2DA5"/>
    <w:rsid w:val="00AC3881"/>
    <w:rsid w:val="00B001F4"/>
    <w:rsid w:val="00B0296E"/>
    <w:rsid w:val="00B03ACD"/>
    <w:rsid w:val="00B16697"/>
    <w:rsid w:val="00B50F53"/>
    <w:rsid w:val="00B53FB2"/>
    <w:rsid w:val="00B540BC"/>
    <w:rsid w:val="00B604A5"/>
    <w:rsid w:val="00B90CB6"/>
    <w:rsid w:val="00B925F3"/>
    <w:rsid w:val="00BC171F"/>
    <w:rsid w:val="00C00D55"/>
    <w:rsid w:val="00C13F3F"/>
    <w:rsid w:val="00C172F1"/>
    <w:rsid w:val="00C2083A"/>
    <w:rsid w:val="00C31177"/>
    <w:rsid w:val="00C4029B"/>
    <w:rsid w:val="00C42251"/>
    <w:rsid w:val="00C512F4"/>
    <w:rsid w:val="00C577DD"/>
    <w:rsid w:val="00C62B66"/>
    <w:rsid w:val="00C729D5"/>
    <w:rsid w:val="00C82C66"/>
    <w:rsid w:val="00C86E93"/>
    <w:rsid w:val="00CC2F39"/>
    <w:rsid w:val="00CC35A5"/>
    <w:rsid w:val="00CC55E5"/>
    <w:rsid w:val="00D129C1"/>
    <w:rsid w:val="00D17CC0"/>
    <w:rsid w:val="00D31E19"/>
    <w:rsid w:val="00D35563"/>
    <w:rsid w:val="00D44EFC"/>
    <w:rsid w:val="00D64185"/>
    <w:rsid w:val="00D6621F"/>
    <w:rsid w:val="00DA0CAD"/>
    <w:rsid w:val="00DA36F2"/>
    <w:rsid w:val="00DC0876"/>
    <w:rsid w:val="00DC11EB"/>
    <w:rsid w:val="00DC2DD7"/>
    <w:rsid w:val="00DE0A32"/>
    <w:rsid w:val="00DE3986"/>
    <w:rsid w:val="00DF5055"/>
    <w:rsid w:val="00DF671D"/>
    <w:rsid w:val="00E0763C"/>
    <w:rsid w:val="00E22B90"/>
    <w:rsid w:val="00E34012"/>
    <w:rsid w:val="00E34597"/>
    <w:rsid w:val="00E352F7"/>
    <w:rsid w:val="00E55B1A"/>
    <w:rsid w:val="00E620C4"/>
    <w:rsid w:val="00E801DC"/>
    <w:rsid w:val="00E93D18"/>
    <w:rsid w:val="00EA6702"/>
    <w:rsid w:val="00EC0B94"/>
    <w:rsid w:val="00EC5B56"/>
    <w:rsid w:val="00EE78B6"/>
    <w:rsid w:val="00F0301A"/>
    <w:rsid w:val="00F042E7"/>
    <w:rsid w:val="00F115C7"/>
    <w:rsid w:val="00F13400"/>
    <w:rsid w:val="00F45A16"/>
    <w:rsid w:val="00F530A7"/>
    <w:rsid w:val="00F718EB"/>
    <w:rsid w:val="00F77801"/>
    <w:rsid w:val="00F9435B"/>
    <w:rsid w:val="00FC68A8"/>
    <w:rsid w:val="00FF3472"/>
    <w:rsid w:val="00FF6348"/>
    <w:rsid w:val="012073A2"/>
    <w:rsid w:val="01973053"/>
    <w:rsid w:val="027E74CA"/>
    <w:rsid w:val="04DB3C44"/>
    <w:rsid w:val="0CF43C8A"/>
    <w:rsid w:val="0D4967B3"/>
    <w:rsid w:val="0DA87EC0"/>
    <w:rsid w:val="0F447B05"/>
    <w:rsid w:val="0FEC3E14"/>
    <w:rsid w:val="111C1363"/>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BB29EE"/>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C9E4F9A"/>
    <w:rsid w:val="7DAB739D"/>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5"/>
    <w:qFormat/>
    <w:uiPriority w:val="0"/>
    <w:rPr>
      <w:sz w:val="18"/>
      <w:szCs w:val="18"/>
    </w:rPr>
  </w:style>
  <w:style w:type="paragraph" w:styleId="4">
    <w:name w:val="footer"/>
    <w:basedOn w:val="1"/>
    <w:link w:val="14"/>
    <w:uiPriority w:val="0"/>
    <w:pPr>
      <w:tabs>
        <w:tab w:val="center" w:pos="4153"/>
        <w:tab w:val="right" w:pos="8306"/>
      </w:tabs>
      <w:snapToGrid w:val="0"/>
      <w:jc w:val="left"/>
    </w:pPr>
    <w:rPr>
      <w:sz w:val="18"/>
      <w:szCs w:val="18"/>
    </w:rPr>
  </w:style>
  <w:style w:type="paragraph" w:styleId="5">
    <w:name w:val="header"/>
    <w:basedOn w:val="1"/>
    <w:link w:val="13"/>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0"/>
    <w:rPr>
      <w:b/>
    </w:rPr>
  </w:style>
  <w:style w:type="paragraph" w:styleId="10">
    <w:name w:val="List Paragraph"/>
    <w:basedOn w:val="1"/>
    <w:qFormat/>
    <w:uiPriority w:val="0"/>
    <w:pPr>
      <w:ind w:firstLine="420" w:firstLineChars="200"/>
    </w:pPr>
    <w:rPr>
      <w:szCs w:val="22"/>
    </w:rPr>
  </w:style>
  <w:style w:type="paragraph" w:customStyle="1" w:styleId="11">
    <w:name w:val="标准文件_段"/>
    <w:link w:val="1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
    <w:name w:val="标准文件_段 Char"/>
    <w:link w:val="11"/>
    <w:qFormat/>
    <w:uiPriority w:val="0"/>
    <w:rPr>
      <w:rFonts w:ascii="宋体"/>
      <w:sz w:val="21"/>
    </w:rPr>
  </w:style>
  <w:style w:type="character" w:customStyle="1" w:styleId="13">
    <w:name w:val="页眉 Char"/>
    <w:basedOn w:val="8"/>
    <w:link w:val="5"/>
    <w:qFormat/>
    <w:uiPriority w:val="0"/>
    <w:rPr>
      <w:rFonts w:ascii="Times New Roman" w:hAnsi="Times New Roman"/>
      <w:kern w:val="2"/>
      <w:sz w:val="18"/>
      <w:szCs w:val="18"/>
    </w:rPr>
  </w:style>
  <w:style w:type="character" w:customStyle="1" w:styleId="14">
    <w:name w:val="页脚 Char"/>
    <w:basedOn w:val="8"/>
    <w:link w:val="4"/>
    <w:uiPriority w:val="0"/>
    <w:rPr>
      <w:rFonts w:ascii="Times New Roman" w:hAnsi="Times New Roman"/>
      <w:kern w:val="2"/>
      <w:sz w:val="18"/>
      <w:szCs w:val="18"/>
    </w:rPr>
  </w:style>
  <w:style w:type="character" w:customStyle="1" w:styleId="15">
    <w:name w:val="批注框文本 Char"/>
    <w:basedOn w:val="8"/>
    <w:link w:val="3"/>
    <w:qFormat/>
    <w:uiPriority w:val="0"/>
    <w:rPr>
      <w:rFonts w:ascii="Times New Roman" w:hAnsi="Times New Roman"/>
      <w:kern w:val="2"/>
      <w:sz w:val="18"/>
      <w:szCs w:val="18"/>
    </w:rPr>
  </w:style>
  <w:style w:type="paragraph" w:customStyle="1" w:styleId="16">
    <w:name w:val="标准文件_二级条标题"/>
    <w:next w:val="11"/>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17">
    <w:name w:val="标准文件_三级条标题"/>
    <w:basedOn w:val="16"/>
    <w:next w:val="11"/>
    <w:qFormat/>
    <w:uiPriority w:val="0"/>
    <w:pPr>
      <w:widowControl/>
      <w:numPr>
        <w:ilvl w:val="4"/>
      </w:numPr>
      <w:outlineLvl w:val="3"/>
    </w:pPr>
  </w:style>
  <w:style w:type="paragraph" w:customStyle="1" w:styleId="18">
    <w:name w:val="标准文件_四级条标题"/>
    <w:next w:val="11"/>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19">
    <w:name w:val="标准文件_五级条标题"/>
    <w:next w:val="11"/>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0">
    <w:name w:val="标准文件_章标题"/>
    <w:next w:val="11"/>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1">
    <w:name w:val="标准文件_一级条标题"/>
    <w:basedOn w:val="20"/>
    <w:next w:val="11"/>
    <w:qFormat/>
    <w:uiPriority w:val="0"/>
    <w:pPr>
      <w:numPr>
        <w:ilvl w:val="2"/>
      </w:numPr>
      <w:spacing w:beforeLines="50" w:afterLines="50"/>
      <w:outlineLvl w:val="1"/>
    </w:pPr>
  </w:style>
  <w:style w:type="paragraph" w:customStyle="1" w:styleId="22">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3">
    <w:name w:val="标准文件_二级无标题"/>
    <w:basedOn w:val="16"/>
    <w:qFormat/>
    <w:uiPriority w:val="0"/>
    <w:pPr>
      <w:spacing w:beforeLines="0" w:afterLines="0"/>
      <w:outlineLvl w:val="9"/>
    </w:pPr>
    <w:rPr>
      <w:rFonts w:ascii="宋体" w:eastAsia="宋体"/>
    </w:rPr>
  </w:style>
  <w:style w:type="character" w:customStyle="1" w:styleId="24">
    <w:name w:val="段 Char"/>
    <w:link w:val="25"/>
    <w:uiPriority w:val="0"/>
    <w:rPr>
      <w:rFonts w:ascii="宋体"/>
      <w:sz w:val="21"/>
    </w:rPr>
  </w:style>
  <w:style w:type="paragraph" w:customStyle="1" w:styleId="25">
    <w:name w:val="段"/>
    <w:link w:val="24"/>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26">
    <w:name w:val="标准文件_术语条一"/>
    <w:basedOn w:val="1"/>
    <w:next w:val="11"/>
    <w:qFormat/>
    <w:uiPriority w:val="0"/>
    <w:pPr>
      <w:widowControl/>
    </w:pPr>
    <w:rPr>
      <w:rFonts w:ascii="宋体"/>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CAD31C-20B1-4286-B6A2-F9742265F0F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3614</Words>
  <Characters>4518</Characters>
  <Lines>753</Lines>
  <Paragraphs>677</Paragraphs>
  <TotalTime>171</TotalTime>
  <ScaleCrop>false</ScaleCrop>
  <LinksUpToDate>false</LinksUpToDate>
  <CharactersWithSpaces>7455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2021-08-19T07:49:00Z</dcterms:created>
  <dc:creator>Administrator</dc:creator>
  <cp:lastModifiedBy>Administrator</cp:lastModifiedBy>
  <dcterms:modified xsi:type="dcterms:W3CDTF">2021-08-29T08:16:17Z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